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915"/>
        </w:tabs>
        <w:spacing w:line="360" w:lineRule="auto"/>
        <w:rPr>
          <w:rFonts w:hint="eastAsia" w:ascii="华文中宋" w:hAnsi="华文中宋" w:eastAsia="华文中宋"/>
          <w:b/>
          <w:color w:val="FF0000"/>
          <w:spacing w:val="-14"/>
          <w:w w:val="80"/>
          <w:sz w:val="32"/>
          <w:szCs w:val="32"/>
        </w:rPr>
      </w:pPr>
    </w:p>
    <w:p>
      <w:pPr>
        <w:spacing w:line="360" w:lineRule="auto"/>
        <w:jc w:val="center"/>
        <w:rPr>
          <w:rFonts w:hint="eastAsia" w:ascii="华文中宋" w:hAnsi="华文中宋" w:eastAsia="华文中宋"/>
          <w:b/>
          <w:color w:val="FF0000"/>
          <w:spacing w:val="-14"/>
          <w:w w:val="80"/>
          <w:sz w:val="32"/>
          <w:szCs w:val="32"/>
        </w:rPr>
      </w:pPr>
    </w:p>
    <w:p>
      <w:pPr>
        <w:spacing w:line="360" w:lineRule="auto"/>
        <w:jc w:val="center"/>
        <w:rPr>
          <w:rFonts w:hint="eastAsia" w:ascii="华文中宋" w:hAnsi="华文中宋" w:eastAsia="华文中宋"/>
          <w:b/>
          <w:color w:val="FF0000"/>
          <w:spacing w:val="-14"/>
          <w:w w:val="80"/>
          <w:sz w:val="32"/>
          <w:szCs w:val="32"/>
        </w:rPr>
      </w:pPr>
    </w:p>
    <w:p>
      <w:pPr>
        <w:spacing w:line="360" w:lineRule="auto"/>
        <w:ind w:left="-359" w:leftChars="-171" w:right="-313" w:rightChars="-149"/>
        <w:jc w:val="distribute"/>
        <w:rPr>
          <w:rFonts w:hint="eastAsia" w:ascii="仿宋_GB2312" w:eastAsia="方正小标宋简体"/>
          <w:w w:val="70"/>
          <w:sz w:val="72"/>
          <w:szCs w:val="72"/>
        </w:rPr>
      </w:pPr>
      <w:r>
        <w:rPr>
          <w:rFonts w:hint="eastAsia" w:ascii="方正小标宋简体" w:eastAsia="方正小标宋简体"/>
          <w:b/>
          <w:color w:val="FF0000"/>
          <w:w w:val="70"/>
          <w:sz w:val="72"/>
          <w:szCs w:val="72"/>
        </w:rPr>
        <w:t xml:space="preserve">天津市西青区市场监督管理局文件 </w:t>
      </w:r>
    </w:p>
    <w:p>
      <w:pPr>
        <w:snapToGrid w:val="0"/>
        <w:spacing w:line="500" w:lineRule="exact"/>
        <w:jc w:val="center"/>
        <w:rPr>
          <w:rFonts w:hint="eastAsia" w:eastAsia="仿宋_GB2312"/>
          <w:sz w:val="32"/>
          <w:szCs w:val="32"/>
        </w:rPr>
      </w:pPr>
    </w:p>
    <w:p>
      <w:pPr>
        <w:spacing w:line="500" w:lineRule="exact"/>
        <w:jc w:val="center"/>
        <w:rPr>
          <w:rFonts w:eastAsia="仿宋_GB2312"/>
          <w:sz w:val="32"/>
          <w:szCs w:val="32"/>
        </w:rPr>
      </w:pPr>
    </w:p>
    <w:p>
      <w:pPr>
        <w:spacing w:line="640" w:lineRule="exact"/>
        <w:jc w:val="center"/>
        <w:rPr>
          <w:rFonts w:ascii="仿宋" w:hAnsi="仿宋" w:eastAsia="仿宋"/>
          <w:sz w:val="32"/>
          <w:szCs w:val="32"/>
        </w:rPr>
      </w:pPr>
      <w:r>
        <w:rPr>
          <w:rFonts w:hint="eastAsia" w:ascii="仿宋_GB2312" w:hAnsi="仿宋_GB2312" w:eastAsia="仿宋_GB2312" w:cs="仿宋_GB2312"/>
          <w:sz w:val="32"/>
          <w:szCs w:val="32"/>
        </w:rPr>
        <w:t>西青市场监管</w:t>
      </w:r>
      <w:r>
        <w:rPr>
          <w:rFonts w:hint="eastAsia" w:ascii="仿宋_GB2312" w:hAnsi="仿宋_GB2312" w:eastAsia="仿宋_GB2312" w:cs="仿宋_GB2312"/>
          <w:sz w:val="32"/>
          <w:szCs w:val="32"/>
          <w:lang w:eastAsia="zh-CN"/>
        </w:rPr>
        <w:t>办</w:t>
      </w: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24</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15</w:t>
      </w:r>
      <w:r>
        <w:rPr>
          <w:rFonts w:hint="eastAsia" w:ascii="仿宋_GB2312" w:hAnsi="仿宋_GB2312" w:eastAsia="仿宋_GB2312" w:cs="仿宋_GB2312"/>
          <w:sz w:val="32"/>
          <w:szCs w:val="32"/>
        </w:rPr>
        <w:t>号</w:t>
      </w:r>
    </w:p>
    <w:p>
      <w:pPr>
        <w:spacing w:line="660" w:lineRule="exact"/>
        <w:jc w:val="center"/>
        <w:rPr>
          <w:rFonts w:hint="eastAsia" w:ascii="方正小标宋简体" w:eastAsia="方正小标宋简体"/>
          <w:b/>
          <w:sz w:val="44"/>
          <w:szCs w:val="44"/>
        </w:rPr>
      </w:pPr>
      <w:r>
        <w:rPr>
          <w:rFonts w:hint="eastAsia" w:ascii="方正小标宋简体" w:eastAsia="方正小标宋简体"/>
          <w:b/>
          <w:sz w:val="44"/>
          <w:szCs w:val="44"/>
        </w:rPr>
        <mc:AlternateContent>
          <mc:Choice Requires="wps">
            <w:drawing>
              <wp:anchor distT="0" distB="0" distL="114300" distR="114300" simplePos="0" relativeHeight="251660288" behindDoc="0" locked="0" layoutInCell="1" allowOverlap="1">
                <wp:simplePos x="0" y="0"/>
                <wp:positionH relativeFrom="column">
                  <wp:align>center</wp:align>
                </wp:positionH>
                <wp:positionV relativeFrom="paragraph">
                  <wp:posOffset>144145</wp:posOffset>
                </wp:positionV>
                <wp:extent cx="5615940" cy="0"/>
                <wp:effectExtent l="0" t="12700" r="3810" b="15875"/>
                <wp:wrapNone/>
                <wp:docPr id="2" name="直接连接符 2"/>
                <wp:cNvGraphicFramePr/>
                <a:graphic xmlns:a="http://schemas.openxmlformats.org/drawingml/2006/main">
                  <a:graphicData uri="http://schemas.microsoft.com/office/word/2010/wordprocessingShape">
                    <wps:wsp>
                      <wps:cNvCnPr/>
                      <wps:spPr>
                        <a:xfrm>
                          <a:off x="0" y="0"/>
                          <a:ext cx="5615940" cy="0"/>
                        </a:xfrm>
                        <a:prstGeom prst="line">
                          <a:avLst/>
                        </a:prstGeom>
                        <a:ln w="25400" cap="flat" cmpd="sng">
                          <a:solidFill>
                            <a:srgbClr val="FF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top:11.35pt;height:0pt;width:442.2pt;mso-position-horizontal:center;z-index:251660288;mso-width-relative:page;mso-height-relative:page;" filled="f" stroked="t" coordsize="21600,21600" o:gfxdata="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YpYA6dQAAAAGAQAADwAA&#10;AAAAAAABACAAAAAiAAAAZHJzL2Rvd25yZXYueG1sUEsBAhQAFAAAAAgAh07iQHeDCivhAQAApQMA&#10;AA4AAAAAAAAAAQAgAAAAIwEAAGRycy9lMm9Eb2MueG1sUEsFBgAAAAAGAAYAWQEAAHYFAAAAAA==&#10;">
                <v:fill on="f" focussize="0,0"/>
                <v:stroke weight="2pt" color="#FF0000" joinstyle="round"/>
                <v:imagedata o:title=""/>
                <o:lock v:ext="edit" aspectratio="f"/>
              </v:line>
            </w:pict>
          </mc:Fallback>
        </mc:AlternateContent>
      </w:r>
    </w:p>
    <w:p>
      <w:pPr>
        <w:spacing w:line="560" w:lineRule="exact"/>
        <w:jc w:val="center"/>
        <w:rPr>
          <w:rFonts w:hint="eastAsia" w:ascii="方正小标宋简体" w:hAnsi="宋体" w:eastAsia="方正小标宋简体"/>
          <w:sz w:val="44"/>
          <w:szCs w:val="44"/>
        </w:rPr>
      </w:pPr>
    </w:p>
    <w:p>
      <w:pPr>
        <w:spacing w:line="560" w:lineRule="exact"/>
        <w:jc w:val="center"/>
        <w:rPr>
          <w:rFonts w:hint="eastAsia" w:ascii="方正小标宋简体" w:hAnsi="宋体" w:eastAsia="方正小标宋简体"/>
          <w:sz w:val="44"/>
          <w:szCs w:val="44"/>
        </w:rPr>
      </w:pPr>
    </w:p>
    <w:p>
      <w:pPr>
        <w:spacing w:line="560" w:lineRule="exact"/>
        <w:jc w:val="center"/>
        <w:rPr>
          <w:rFonts w:hint="eastAsia" w:ascii="宋体" w:hAnsi="宋体"/>
          <w:sz w:val="36"/>
          <w:szCs w:val="36"/>
        </w:rPr>
      </w:pPr>
      <w:r>
        <w:rPr>
          <w:rFonts w:hint="eastAsia" w:ascii="方正小标宋简体" w:hAnsi="宋体" w:eastAsia="方正小标宋简体"/>
          <w:sz w:val="44"/>
          <w:szCs w:val="44"/>
        </w:rPr>
        <w:t>关于印发《天津市西青区市场监督管理局20</w:t>
      </w:r>
      <w:r>
        <w:rPr>
          <w:rFonts w:hint="eastAsia" w:ascii="方正小标宋简体" w:hAnsi="宋体" w:eastAsia="方正小标宋简体"/>
          <w:sz w:val="44"/>
          <w:szCs w:val="44"/>
          <w:lang w:val="en-US" w:eastAsia="zh-CN"/>
        </w:rPr>
        <w:t>24</w:t>
      </w:r>
      <w:r>
        <w:rPr>
          <w:rFonts w:hint="eastAsia" w:ascii="方正小标宋简体" w:hAnsi="宋体" w:eastAsia="方正小标宋简体"/>
          <w:sz w:val="44"/>
          <w:szCs w:val="44"/>
        </w:rPr>
        <w:t>年行政执法工作报告》的通知</w:t>
      </w:r>
    </w:p>
    <w:p>
      <w:pPr>
        <w:autoSpaceDE w:val="0"/>
        <w:spacing w:line="560" w:lineRule="exact"/>
        <w:rPr>
          <w:rFonts w:ascii="仿宋_GB2312" w:eastAsia="仿宋_GB2312"/>
          <w:sz w:val="32"/>
          <w:szCs w:val="32"/>
        </w:rPr>
      </w:pPr>
      <w:r>
        <w:rPr>
          <w:rFonts w:hint="eastAsia" w:ascii="仿宋_GB2312" w:eastAsia="仿宋_GB2312"/>
          <w:sz w:val="32"/>
          <w:szCs w:val="32"/>
        </w:rPr>
        <w:t>各科、室、所</w:t>
      </w:r>
      <w:r>
        <w:rPr>
          <w:rFonts w:hint="eastAsia" w:ascii="仿宋_GB2312" w:eastAsia="仿宋_GB2312"/>
          <w:sz w:val="32"/>
          <w:szCs w:val="32"/>
          <w:lang w:eastAsia="zh-CN"/>
        </w:rPr>
        <w:t>，综合支队</w:t>
      </w:r>
      <w:r>
        <w:rPr>
          <w:rFonts w:hint="eastAsia" w:ascii="仿宋_GB2312" w:eastAsia="仿宋_GB2312"/>
          <w:sz w:val="32"/>
          <w:szCs w:val="32"/>
        </w:rPr>
        <w:t>：</w:t>
      </w:r>
    </w:p>
    <w:p>
      <w:pPr>
        <w:autoSpaceDE w:val="0"/>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依据《天津市行政执法监督规定》，我局</w:t>
      </w:r>
      <w:r>
        <w:rPr>
          <w:rFonts w:ascii="仿宋_GB2312" w:eastAsia="仿宋_GB2312"/>
          <w:sz w:val="32"/>
          <w:szCs w:val="32"/>
        </w:rPr>
        <w:t>现将</w:t>
      </w:r>
      <w:r>
        <w:rPr>
          <w:rFonts w:hint="eastAsia" w:ascii="仿宋_GB2312" w:eastAsia="仿宋_GB2312"/>
          <w:sz w:val="32"/>
          <w:szCs w:val="32"/>
        </w:rPr>
        <w:t>《天津市西青区市场监督管理局20</w:t>
      </w:r>
      <w:r>
        <w:rPr>
          <w:rFonts w:hint="eastAsia" w:ascii="仿宋_GB2312" w:eastAsia="仿宋_GB2312"/>
          <w:sz w:val="32"/>
          <w:szCs w:val="32"/>
          <w:lang w:val="en-US" w:eastAsia="zh-CN"/>
        </w:rPr>
        <w:t>24</w:t>
      </w:r>
      <w:r>
        <w:rPr>
          <w:rFonts w:hint="eastAsia" w:ascii="仿宋_GB2312" w:eastAsia="仿宋_GB2312"/>
          <w:sz w:val="32"/>
          <w:szCs w:val="32"/>
        </w:rPr>
        <w:t>年行政执法工作报告》予以印发。</w:t>
      </w:r>
    </w:p>
    <w:p>
      <w:pPr>
        <w:autoSpaceDE w:val="0"/>
        <w:spacing w:line="560" w:lineRule="exact"/>
        <w:ind w:firstLine="640" w:firstLineChars="200"/>
        <w:rPr>
          <w:rFonts w:hint="eastAsia" w:ascii="仿宋_GB2312" w:eastAsia="仿宋_GB2312"/>
          <w:sz w:val="32"/>
          <w:szCs w:val="32"/>
        </w:rPr>
      </w:pPr>
    </w:p>
    <w:p>
      <w:pPr>
        <w:autoSpaceDE w:val="0"/>
        <w:spacing w:line="560" w:lineRule="exact"/>
        <w:ind w:firstLine="640" w:firstLineChars="200"/>
        <w:rPr>
          <w:rFonts w:hint="eastAsia" w:ascii="仿宋_GB2312" w:eastAsia="仿宋_GB2312"/>
          <w:sz w:val="32"/>
          <w:szCs w:val="32"/>
        </w:rPr>
      </w:pPr>
    </w:p>
    <w:p>
      <w:pPr>
        <w:autoSpaceDE w:val="0"/>
        <w:spacing w:line="560" w:lineRule="exact"/>
        <w:ind w:firstLine="640" w:firstLineChars="200"/>
        <w:rPr>
          <w:rFonts w:hint="eastAsia" w:ascii="仿宋_GB2312" w:eastAsia="仿宋_GB2312"/>
          <w:sz w:val="32"/>
          <w:szCs w:val="32"/>
        </w:rPr>
      </w:pPr>
    </w:p>
    <w:p>
      <w:pPr>
        <w:spacing w:line="560" w:lineRule="exact"/>
        <w:rPr>
          <w:rFonts w:hint="eastAsia" w:ascii="仿宋_GB2312" w:eastAsia="仿宋_GB2312"/>
          <w:sz w:val="32"/>
          <w:szCs w:val="32"/>
        </w:rPr>
      </w:pPr>
      <w:r>
        <w:rPr>
          <w:rFonts w:hint="eastAsia" w:ascii="仿宋_GB2312" w:eastAsia="仿宋_GB2312"/>
          <w:sz w:val="32"/>
          <w:szCs w:val="32"/>
        </w:rPr>
        <w:t xml:space="preserve">                           20</w:t>
      </w:r>
      <w:r>
        <w:rPr>
          <w:rFonts w:hint="eastAsia" w:ascii="仿宋_GB2312" w:eastAsia="仿宋_GB2312"/>
          <w:sz w:val="32"/>
          <w:szCs w:val="32"/>
          <w:lang w:val="en-US" w:eastAsia="zh-CN"/>
        </w:rPr>
        <w:t>24</w:t>
      </w:r>
      <w:r>
        <w:rPr>
          <w:rFonts w:hint="eastAsia" w:ascii="仿宋_GB2312" w:eastAsia="仿宋_GB2312"/>
          <w:sz w:val="32"/>
          <w:szCs w:val="32"/>
        </w:rPr>
        <w:t>年12月</w:t>
      </w:r>
      <w:r>
        <w:rPr>
          <w:rFonts w:hint="eastAsia" w:ascii="仿宋_GB2312" w:eastAsia="仿宋_GB2312"/>
          <w:sz w:val="32"/>
          <w:szCs w:val="32"/>
          <w:lang w:val="en-US" w:eastAsia="zh-CN"/>
        </w:rPr>
        <w:t>31</w:t>
      </w:r>
      <w:r>
        <w:rPr>
          <w:rFonts w:hint="eastAsia" w:ascii="仿宋_GB2312" w:eastAsia="仿宋_GB2312"/>
          <w:sz w:val="32"/>
          <w:szCs w:val="32"/>
        </w:rPr>
        <w:t>日</w:t>
      </w:r>
    </w:p>
    <w:p>
      <w:pPr>
        <w:spacing w:line="560" w:lineRule="exact"/>
        <w:rPr>
          <w:rFonts w:hint="eastAsia" w:ascii="仿宋_GB2312" w:eastAsia="仿宋_GB2312"/>
          <w:sz w:val="32"/>
          <w:szCs w:val="32"/>
        </w:rPr>
      </w:pPr>
      <w:r>
        <w:rPr>
          <w:rFonts w:hint="eastAsia" w:ascii="仿宋_GB2312" w:eastAsia="仿宋_GB2312"/>
          <w:sz w:val="32"/>
          <w:szCs w:val="32"/>
        </w:rPr>
        <w:t>（此件主动公开）</w:t>
      </w:r>
    </w:p>
    <w:p>
      <w:pPr>
        <w:widowControl/>
        <w:spacing w:line="600" w:lineRule="exact"/>
        <w:ind w:firstLine="142" w:firstLineChars="49"/>
        <w:jc w:val="center"/>
        <w:rPr>
          <w:rFonts w:hint="eastAsia" w:ascii="方正小标宋简体" w:hAnsi="宋体" w:eastAsia="方正小标宋简体" w:cs="宋体"/>
          <w:b/>
          <w:color w:val="000000"/>
          <w:w w:val="90"/>
          <w:kern w:val="0"/>
          <w:sz w:val="32"/>
          <w:szCs w:val="32"/>
        </w:rPr>
        <w:sectPr>
          <w:pgSz w:w="11906" w:h="16838"/>
          <w:pgMar w:top="1440" w:right="1800" w:bottom="1440" w:left="1800" w:header="851" w:footer="992" w:gutter="0"/>
          <w:pgNumType w:fmt="numberInDash" w:start="1"/>
          <w:cols w:space="720" w:num="1"/>
          <w:docGrid w:type="lines" w:linePitch="312" w:charSpace="0"/>
        </w:sectPr>
      </w:pPr>
    </w:p>
    <w:p>
      <w:pPr>
        <w:widowControl/>
        <w:spacing w:line="600" w:lineRule="exact"/>
        <w:ind w:firstLine="215" w:firstLineChars="49"/>
        <w:jc w:val="center"/>
        <w:rPr>
          <w:rFonts w:ascii="Times New Roman" w:hAnsi="Times New Roman" w:eastAsia="方正小标宋简体"/>
          <w:color w:val="000000"/>
          <w:kern w:val="0"/>
          <w:sz w:val="44"/>
          <w:szCs w:val="44"/>
        </w:rPr>
      </w:pPr>
      <w:r>
        <w:rPr>
          <w:rFonts w:ascii="Times New Roman" w:hAnsi="Times New Roman" w:eastAsia="方正小标宋简体"/>
          <w:color w:val="000000"/>
          <w:kern w:val="0"/>
          <w:sz w:val="44"/>
          <w:szCs w:val="44"/>
        </w:rPr>
        <w:t>天津市西青区市场监</w:t>
      </w:r>
      <w:r>
        <w:rPr>
          <w:rFonts w:hint="eastAsia" w:ascii="Times New Roman" w:hAnsi="Times New Roman" w:eastAsia="方正小标宋简体"/>
          <w:color w:val="000000"/>
          <w:kern w:val="0"/>
          <w:sz w:val="44"/>
          <w:szCs w:val="44"/>
          <w:lang w:eastAsia="zh-CN"/>
        </w:rPr>
        <w:t>督</w:t>
      </w:r>
      <w:bookmarkStart w:id="0" w:name="_GoBack"/>
      <w:bookmarkEnd w:id="0"/>
      <w:r>
        <w:rPr>
          <w:rFonts w:ascii="Times New Roman" w:hAnsi="Times New Roman" w:eastAsia="方正小标宋简体"/>
          <w:color w:val="000000"/>
          <w:kern w:val="0"/>
          <w:sz w:val="44"/>
          <w:szCs w:val="44"/>
        </w:rPr>
        <w:t>管理局</w:t>
      </w:r>
    </w:p>
    <w:p>
      <w:pPr>
        <w:widowControl/>
        <w:spacing w:line="600" w:lineRule="exact"/>
        <w:ind w:firstLine="215" w:firstLineChars="49"/>
        <w:jc w:val="center"/>
        <w:rPr>
          <w:rFonts w:ascii="Times New Roman" w:hAnsi="Times New Roman" w:eastAsia="方正小标宋简体"/>
          <w:color w:val="000000"/>
          <w:kern w:val="0"/>
          <w:sz w:val="44"/>
          <w:szCs w:val="44"/>
        </w:rPr>
      </w:pPr>
      <w:r>
        <w:rPr>
          <w:rFonts w:ascii="Times New Roman" w:hAnsi="Times New Roman" w:eastAsia="方正小标宋简体"/>
          <w:color w:val="000000"/>
          <w:kern w:val="0"/>
          <w:sz w:val="44"/>
          <w:szCs w:val="44"/>
        </w:rPr>
        <w:t>2024年行政执法工作报告</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一、基本情况</w:t>
      </w:r>
    </w:p>
    <w:p>
      <w:pPr>
        <w:spacing w:line="560" w:lineRule="exact"/>
        <w:ind w:firstLine="640" w:firstLineChars="200"/>
        <w:rPr>
          <w:rFonts w:hint="eastAsia" w:ascii="楷体_GB2312" w:eastAsia="楷体_GB2312"/>
          <w:sz w:val="32"/>
          <w:szCs w:val="32"/>
        </w:rPr>
      </w:pPr>
      <w:r>
        <w:rPr>
          <w:rFonts w:hint="eastAsia" w:ascii="楷体_GB2312" w:eastAsia="楷体_GB2312"/>
          <w:sz w:val="32"/>
          <w:szCs w:val="32"/>
        </w:rPr>
        <w:t>（一）行政执法主体情况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我局主要负责本行政区域内的市场监管领域综合管理和行政执法工作。现有执法机构为一支综合行政执法支队，十个基层市场监管所，从事市场监管领域行政执法工作。</w:t>
      </w:r>
    </w:p>
    <w:p>
      <w:pPr>
        <w:spacing w:line="560" w:lineRule="exact"/>
        <w:ind w:firstLine="640" w:firstLineChars="200"/>
        <w:rPr>
          <w:rFonts w:hint="eastAsia" w:ascii="楷体_GB2312" w:eastAsia="楷体_GB2312"/>
          <w:sz w:val="32"/>
          <w:szCs w:val="32"/>
        </w:rPr>
      </w:pPr>
      <w:r>
        <w:rPr>
          <w:rFonts w:hint="eastAsia" w:ascii="楷体_GB2312" w:eastAsia="楷体_GB2312"/>
          <w:sz w:val="32"/>
          <w:szCs w:val="32"/>
        </w:rPr>
        <w:t>（二）行政执法人员情况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我局现有行政执法持证人员189人。与律师事务所签订法律服务合同，拨付专款聘请兼职法律顾问。现有法制审核人14人，取得法律职业资格人员12人。</w:t>
      </w:r>
    </w:p>
    <w:p>
      <w:pPr>
        <w:spacing w:line="560" w:lineRule="exact"/>
        <w:ind w:firstLine="640" w:firstLineChars="200"/>
        <w:rPr>
          <w:rFonts w:hint="eastAsia" w:ascii="楷体_GB2312" w:eastAsia="楷体_GB2312"/>
          <w:sz w:val="32"/>
          <w:szCs w:val="32"/>
        </w:rPr>
      </w:pPr>
      <w:r>
        <w:rPr>
          <w:rFonts w:hint="eastAsia" w:ascii="楷体_GB2312" w:eastAsia="楷体_GB2312"/>
          <w:sz w:val="32"/>
          <w:szCs w:val="32"/>
        </w:rPr>
        <w:t>（三）行政执法案件情况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行政许可履职情况。我局现有行政许可事项23项，通过优化政务服务，建立行政许可事项实施规范更新机制，加强清单管理，完善审批服务指南，推进行政许可标准化、规范化、便利化。围绕为经营主体提供全生命周期服务，深化市场准入、准营和退出等“高效办成一件事”便利化改革。积极落实行政审批告知承诺制、证明事项告知承诺制、“照后减证”和简化审批等改革措施，营造便利规范的市场监管领域经营主体准入退出环境。新设立各类经营主体16558户，同比增长2.29%。全年受理行政许可23038件，准予行政许可22970件，不予行政许可68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行政处罚履职情况。坚持法定职责必须为、法无授权不可为，公示的权责清单507项，建立区级市场监督管理综合行政执法事项指导目录788项。严格规范公正文明执法，规范执法自由裁量权，加大关系群众切身利益的重点领域执法力度。强化企业主体责任，牢牢守住安全底线。2024年，全局共立案909件，较上一年度减少32%，结案860件，较上一年度减少28%，罚没款金额397.6万元，较上一年度减少26%。主要原因是综合运用减免罚清单，实施包容审慎监管。</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 xml:space="preserve">3.行政执法检查履职情况。把保障人民群众生产生活健康安全的责任作为行政执法检查的落脚点，依法严厉打击违法行为。2024年，行政执法监督平台行政检查信息归集306件，行政职权履职率100%，行政执法人员参与率100%。                                     </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4.行政强制履职情况。2024年，采取行政强制措施410起。</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5.其他类别履职情况。2024年，履行行政裁决事项6件。</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二、主要工作措施及成效</w:t>
      </w:r>
    </w:p>
    <w:p>
      <w:pPr>
        <w:spacing w:line="560" w:lineRule="exact"/>
        <w:ind w:firstLine="640" w:firstLineChars="200"/>
        <w:rPr>
          <w:rFonts w:hint="eastAsia" w:ascii="楷体_GB2312" w:eastAsia="楷体_GB2312"/>
          <w:sz w:val="32"/>
          <w:szCs w:val="32"/>
        </w:rPr>
      </w:pPr>
      <w:r>
        <w:rPr>
          <w:rFonts w:hint="eastAsia" w:ascii="楷体_GB2312" w:eastAsia="楷体_GB2312"/>
          <w:sz w:val="32"/>
          <w:szCs w:val="32"/>
        </w:rPr>
        <w:t>（一）制度的建立和落实情况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参与《天津市商品条码管理办法》立法后评估、《天津市市场监管领域免罚清单》规范性文件后评估工作。在全市市场监管部门率先制定推出《西青区市场监督管理局法治规程图集》，制作了83张条线细化的市场监管法治规程图，涉及事项84个、节点1017项，开展“法治规程图集”法治监管模式，提升了法治市场监管的标准化、流程化和规范化建设实效。进一步规范行政执法行为，深入推进包容审慎柔性执法，坚持执法与服务相统一、守底线和促发展相结合，探索构建“预防为主、轻微免罚、重违严惩、过罚相当、事后回访”的服务型执法模式，制定出台《西青区市场监督管理局关于推行服务型执法的实施意见》及系列配套文件。加强行政执法标准化建设，全面落实行政执法“三项制度”，制定出台《通用性业务规范和执法程序规范手册》，对工作依据、工作程序、检查内容、工作文书、行为规范、稽查办案规范等方面作出明确指引，以标准化促进执法公平透明，实现稽查执法精准化、科学化、规范化。2024年，我局无规范性文件制定。落实重大执法决定法制审核要求，完善重大行政执法决定标准。完成案件审核860件，审核率100%。落实行刑衔接工作机制，向公安机关移送各类涉刑案件线索9件。落实行政裁量权基准制度，共办理不予行政处罚案件</w:t>
      </w:r>
      <w:r>
        <w:rPr>
          <w:rFonts w:hint="eastAsia" w:ascii="仿宋_GB2312" w:eastAsia="仿宋_GB2312"/>
          <w:sz w:val="32"/>
          <w:szCs w:val="32"/>
          <w:lang w:val="en-US" w:eastAsia="zh-CN"/>
        </w:rPr>
        <w:t>122</w:t>
      </w:r>
      <w:r>
        <w:rPr>
          <w:rFonts w:hint="eastAsia" w:ascii="仿宋_GB2312" w:eastAsia="仿宋_GB2312"/>
          <w:sz w:val="32"/>
          <w:szCs w:val="32"/>
        </w:rPr>
        <w:t>件，办理减轻、从轻行政处罚案件</w:t>
      </w:r>
      <w:r>
        <w:rPr>
          <w:rFonts w:hint="eastAsia" w:ascii="仿宋_GB2312" w:eastAsia="仿宋_GB2312"/>
          <w:sz w:val="32"/>
          <w:szCs w:val="32"/>
          <w:lang w:val="en-US" w:eastAsia="zh-CN"/>
        </w:rPr>
        <w:t>633</w:t>
      </w:r>
      <w:r>
        <w:rPr>
          <w:rFonts w:hint="eastAsia" w:ascii="仿宋_GB2312" w:eastAsia="仿宋_GB2312"/>
          <w:sz w:val="32"/>
          <w:szCs w:val="32"/>
        </w:rPr>
        <w:t>件。</w:t>
      </w:r>
    </w:p>
    <w:p>
      <w:pPr>
        <w:spacing w:line="560" w:lineRule="exact"/>
        <w:ind w:firstLine="640" w:firstLineChars="200"/>
        <w:rPr>
          <w:rFonts w:hint="eastAsia" w:ascii="楷体_GB2312" w:eastAsia="楷体_GB2312"/>
          <w:sz w:val="32"/>
          <w:szCs w:val="32"/>
        </w:rPr>
      </w:pPr>
      <w:r>
        <w:rPr>
          <w:rFonts w:hint="eastAsia" w:ascii="楷体_GB2312" w:eastAsia="楷体_GB2312"/>
          <w:sz w:val="32"/>
          <w:szCs w:val="32"/>
        </w:rPr>
        <w:t>（二）重点执法工作开展情况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加强综合执法，全面深化”双随机、一公开”，进一步规范涉企监督检查内容、方式和流程，增强监管规范性、精准性、有效性和透明度，努力做到“进一次门，查多项事”。统筹双随机监管和重点监管，兼顾行业风险防控、行政刑事违法情况和信用风险分类管理，实行全链条、全覆盖、全过程监管。牵头全区24个部门“双随机、一公开”抽查检查工作，涉及抽查领域44个。</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对严重危害人民群众生命健康和财产安全，危害公共利益、挑战道德底线、造成恶劣社会影响的违法行为，依法严厉处罚。对食品、药品、工业产品和特种设备等重点产品和重点领域的突出问题，重点整治。组织完成区级食品和食用农产品抽样2245批次，药品、化妆品、医疗器械监督抽检138批次。全面落实“两个责任”，推动领导干部严格履行包保责任，压实食品企业安全主体责任。针对全区786家相关食品生产经营主体开展打击肉类产品违法犯罪专项整治行动。聚力开展校园食品安全排查整治，办理相关案件7件，罚没款25.6万元。深入推进药品安全“利剑行动”。加大重点工业产品专项整治力度，完成重点工业产品及消费品监督抽检194批次，检查电动自行车销售主体642家次、燃气具销售主体393家次。深入开展重大事故隐患专项整治、电梯安全驻底行动、供热锅炉安全专项整治等，压实特种设备安全责任。2024年以来，查处“三品一特”案件342件，罚没款137.45万元。</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开展多领域执法监督保障。联合静海区、廊坊市签订《津廊毗邻区市场监管综合执法协作备忘录》，深化执法协作。扎实开展打击侵犯知识产权、假冒伪劣商品专项工作，查办销售侵犯“五粮液”、“剑南春”知名品牌商标权的重点案件。持续开展民生领域“铁拳”行动，累计查办民生领域各类案件566件。</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打造放心消费环境。切实维护广告、价格、计量、网络等市场秩序。开展2024年西青区“315”国际消费者权益日系列宣传活动，发展线下无理由退货承诺实体店近230家。打造“放心消费在西青”品牌，公示并授牌永旺梦乐城等“放心消费示范企业”10家。全年累计受理各类投诉举报26193件，为消费者挽回经济损失60.8万元。</w:t>
      </w:r>
    </w:p>
    <w:p>
      <w:pPr>
        <w:spacing w:line="560" w:lineRule="exact"/>
        <w:ind w:firstLine="640" w:firstLineChars="200"/>
        <w:rPr>
          <w:rFonts w:hint="eastAsia" w:ascii="楷体_GB2312" w:eastAsia="楷体_GB2312"/>
          <w:sz w:val="32"/>
          <w:szCs w:val="32"/>
        </w:rPr>
      </w:pPr>
      <w:r>
        <w:rPr>
          <w:rFonts w:hint="eastAsia" w:ascii="楷体_GB2312" w:eastAsia="楷体_GB2312"/>
          <w:sz w:val="32"/>
          <w:szCs w:val="32"/>
        </w:rPr>
        <w:t>（三）执法方式创新情况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牢固树立和践行“监管为民”核心理念，围绕落实“一个大市场、两个纲要、三个监管、四个安全”，深刻把握市委、市政府高质量发展“十项行动”战略意图，深入实施市场监管“五大工程”，制定针对性和人性化的服务型执法措施，将市场监管职能嵌入到经济、企业、民生发展的“肌理”。通过准确把握服务型执法的内涵，正确处理执法与服务的关系，将政策法律宣传、质量技术基础服务、风险排查管控、合规经营指引等18项工作措施贯穿于行政执法事前、事中、事后各环节，强化服务的靶向性和协同性，推行以“六书制”为核心的事前“指导+预防”、事中“包容+治理”、事后“修复+提升”的行政合规全过程指导新模式，形成市场监管所有职能的全过程密切配合、全环节协调联动的服务合力，真正实现“服务跑在风险前、服务贯穿监管中、服务跟在执法后”。2024年以来，西青区市场监管局</w:t>
      </w:r>
      <w:r>
        <w:rPr>
          <w:rFonts w:hint="eastAsia" w:ascii="仿宋_GB2312" w:hAnsi="仿宋_GB2312" w:eastAsia="仿宋_GB2312" w:cs="仿宋_GB2312"/>
          <w:b w:val="0"/>
          <w:color w:val="auto"/>
          <w:kern w:val="0"/>
          <w:sz w:val="32"/>
          <w:szCs w:val="32"/>
          <w:lang w:val="en-US" w:eastAsia="zh-CN" w:bidi="ar-SA"/>
        </w:rPr>
        <w:t>共办理不予行政处罚案件122件，免除罚款约351.8万元。共办理减轻、从轻行政处罚案件633件，减少罚款7867.5万元，采取非强制性</w:t>
      </w:r>
      <w:r>
        <w:rPr>
          <w:rFonts w:hint="eastAsia" w:ascii="仿宋_GB2312" w:hAnsi="仿宋_GB2312" w:eastAsia="仿宋_GB2312" w:cs="仿宋_GB2312"/>
          <w:b w:val="0"/>
          <w:bCs w:val="0"/>
          <w:color w:val="auto"/>
          <w:sz w:val="32"/>
          <w:szCs w:val="32"/>
          <w:lang w:val="en-US" w:eastAsia="zh-CN"/>
        </w:rPr>
        <w:t>柔性</w:t>
      </w:r>
      <w:r>
        <w:rPr>
          <w:rFonts w:hint="eastAsia" w:ascii="仿宋_GB2312" w:hAnsi="仿宋_GB2312" w:eastAsia="仿宋_GB2312" w:cs="仿宋_GB2312"/>
          <w:b w:val="0"/>
          <w:color w:val="auto"/>
          <w:kern w:val="0"/>
          <w:sz w:val="32"/>
          <w:szCs w:val="32"/>
          <w:lang w:val="en-US" w:eastAsia="zh-CN" w:bidi="ar-SA"/>
        </w:rPr>
        <w:t>行政指导1530件，</w:t>
      </w:r>
      <w:r>
        <w:rPr>
          <w:rFonts w:hint="eastAsia" w:ascii="仿宋_GB2312" w:eastAsia="仿宋_GB2312"/>
          <w:sz w:val="32"/>
          <w:szCs w:val="32"/>
        </w:rPr>
        <w:t>实现行政指导与严格监管相得益彰，做到“事前积极预防”。</w:t>
      </w:r>
    </w:p>
    <w:p>
      <w:pPr>
        <w:spacing w:line="560" w:lineRule="exact"/>
        <w:ind w:firstLine="640" w:firstLineChars="200"/>
        <w:rPr>
          <w:rFonts w:hint="eastAsia" w:ascii="楷体_GB2312" w:eastAsia="楷体_GB2312"/>
          <w:sz w:val="32"/>
          <w:szCs w:val="32"/>
        </w:rPr>
      </w:pPr>
      <w:r>
        <w:rPr>
          <w:rFonts w:hint="eastAsia" w:ascii="楷体_GB2312" w:eastAsia="楷体_GB2312"/>
          <w:sz w:val="32"/>
          <w:szCs w:val="32"/>
        </w:rPr>
        <w:t>（四）执法队伍建设情况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制定年度干部教育培训计划，保证全体干部全年不少于60学时的脱岗业务培训。组织学习“共性学法清单”和“个性学法清单”，开展市场监督管理法律知识竞赛，开展多层次的政治理论、法律法规、业务知识等各类教育培训。成立3个巡讲团，对20个基层执法部门开展巡讲指导活动，开展《关于推进包容审慎监管执法，推行“五段式” 行政执法模式的指导意见》和“以案释法”典型案例专题解读，让政策直达基层落实不走样。</w:t>
      </w:r>
    </w:p>
    <w:p>
      <w:pPr>
        <w:spacing w:line="560" w:lineRule="exact"/>
        <w:ind w:firstLine="640" w:firstLineChars="200"/>
        <w:rPr>
          <w:rFonts w:hint="eastAsia" w:ascii="楷体_GB2312" w:eastAsia="楷体_GB2312"/>
          <w:sz w:val="32"/>
          <w:szCs w:val="32"/>
        </w:rPr>
      </w:pPr>
      <w:r>
        <w:rPr>
          <w:rFonts w:hint="eastAsia" w:ascii="楷体_GB2312" w:eastAsia="楷体_GB2312"/>
          <w:sz w:val="32"/>
          <w:szCs w:val="32"/>
        </w:rPr>
        <w:t>（五）执法监督情况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严格落实《行政执法责任制规定》《行政败诉案件过错追究办法》《行政执法监督规定》，2024年开展3次案卷评查、1次专项执法监督、行政复议诉讼应诉、典型差案评选等多种手段开展行政执法监督工作。制发执法监督决定书1份，提出责任追究的建议1件。在行政复议工作中，聚焦暴露出的行政执法难点症结问题，注重监督和指导“两手抓”，制发行政复议建议书、提示函5件，就一些专业性强、复杂疑难的问题，讨论制定工作标准、操作规程、工作指引等，实现市场监管行政行为与行政复议工作目标趋同、标准一致。今年共处理行政复议154件，行政诉讼17件，不存在确认违法的情形。化解行政争议38件。</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三</w:t>
      </w:r>
      <w:r>
        <w:rPr>
          <w:rFonts w:ascii="黑体" w:hAnsi="黑体" w:eastAsia="黑体"/>
          <w:sz w:val="32"/>
          <w:szCs w:val="32"/>
        </w:rPr>
        <w:t>、</w:t>
      </w:r>
      <w:r>
        <w:rPr>
          <w:rFonts w:hint="eastAsia" w:ascii="黑体" w:hAnsi="黑体" w:eastAsia="黑体"/>
          <w:sz w:val="32"/>
          <w:szCs w:val="32"/>
        </w:rPr>
        <w:t>存在问题</w:t>
      </w:r>
    </w:p>
    <w:p>
      <w:pPr>
        <w:spacing w:line="560" w:lineRule="exact"/>
        <w:ind w:firstLine="640" w:firstLineChars="200"/>
        <w:rPr>
          <w:rFonts w:hint="eastAsia" w:ascii="楷体_GB2312" w:eastAsia="楷体_GB2312"/>
          <w:sz w:val="32"/>
          <w:szCs w:val="32"/>
        </w:rPr>
      </w:pPr>
      <w:r>
        <w:rPr>
          <w:rFonts w:hint="eastAsia" w:ascii="楷体_GB2312" w:eastAsia="楷体_GB2312"/>
          <w:sz w:val="32"/>
          <w:szCs w:val="32"/>
        </w:rPr>
        <w:t>（一）执法质量</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推动执法队伍能力建设有待加强。由于市场监管领域广、事项多，基层监管执法压力重，疲于应对的多，主动进位的少。新法律法规较多，执法人员执法依据掌握不够全面系统，法条、规范、标准的掌握和熟练运用存在欠缺，执法能力不足。</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距离全面推进严格规范公正文明执法目标还存在不足。机械执法、“一刀切”执法等问题还个别存在，对于全面落实行政裁量权基准制度还有不足，行政处罚宽严相济过罚相当的效果统一还需加强。</w:t>
      </w:r>
    </w:p>
    <w:p>
      <w:pPr>
        <w:spacing w:line="560" w:lineRule="exact"/>
        <w:ind w:firstLine="640" w:firstLineChars="200"/>
        <w:rPr>
          <w:rFonts w:hint="eastAsia" w:ascii="楷体_GB2312" w:eastAsia="楷体_GB2312"/>
          <w:sz w:val="32"/>
          <w:szCs w:val="32"/>
        </w:rPr>
      </w:pPr>
      <w:r>
        <w:rPr>
          <w:rFonts w:hint="eastAsia" w:ascii="楷体_GB2312" w:eastAsia="楷体_GB2312"/>
          <w:sz w:val="32"/>
          <w:szCs w:val="32"/>
        </w:rPr>
        <w:t>（二）执法人员素质（差案、舆情）</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随着社会的不断发展，新兴事物、新兴领域不断涌现，执法新问题层出不穷，对行政执法业务提出了更高的要求，现有执法队伍的建设与执法工作新要求还存在一定差距。2024年未出现被天津市、西青区评为典型差案的案件。收到舆情后，为确保消费纠纷问题圆满化解，我局协调各单位，积极开展相关工作，没有产生不良影响的情形。</w:t>
      </w:r>
    </w:p>
    <w:p>
      <w:pPr>
        <w:spacing w:line="560" w:lineRule="exact"/>
        <w:ind w:firstLine="640" w:firstLineChars="200"/>
        <w:rPr>
          <w:rFonts w:hint="eastAsia" w:ascii="楷体_GB2312" w:eastAsia="楷体_GB2312"/>
          <w:sz w:val="32"/>
          <w:szCs w:val="32"/>
        </w:rPr>
      </w:pPr>
      <w:r>
        <w:rPr>
          <w:rFonts w:hint="eastAsia" w:ascii="楷体_GB2312" w:eastAsia="楷体_GB2312"/>
          <w:sz w:val="32"/>
          <w:szCs w:val="32"/>
        </w:rPr>
        <w:t>（三）体制机制障碍及其他问题</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推动完善市场监管制度体系发力不足。主动适应“四新”经济发展需求，从打造宽松经营环境与防控治理风险的角度出发，健全“容错纠错”包容审慎监管机制还需进一步完善。</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各业务科室、各市场监管所、综合支队都有执法权，但部门职权的划分不清晰，执法范围和职责不够明确，工作衔接、协调机制建设情况尚未建立。</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四、下一步工作打算</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（一）深入贯彻实施服务型执法。</w:t>
      </w:r>
      <w:r>
        <w:rPr>
          <w:rFonts w:hint="eastAsia" w:ascii="仿宋_GB2312" w:eastAsia="仿宋_GB2312"/>
          <w:sz w:val="32"/>
          <w:szCs w:val="32"/>
        </w:rPr>
        <w:t>在广度、深度和精度上推进服务型执法，与监管职能深度融合，将《关于推行服务型执法的实施意见》等系列制度文件与《“五段式”行政执法》等文件一起，构成服务型执法制度体系，形成服务型执法的长效机制，确保市场监管服务型执法工作落地见效。通过“科学、精准、有效”监管，“用心、用情、用力”服务，做到监管“无事不扰”和服务“无处不在”。</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（二）持续优化政务服务。</w:t>
      </w:r>
      <w:r>
        <w:rPr>
          <w:rFonts w:hint="eastAsia" w:ascii="仿宋_GB2312" w:eastAsia="仿宋_GB2312"/>
          <w:sz w:val="32"/>
          <w:szCs w:val="32"/>
        </w:rPr>
        <w:t>把“高效办成一件事”作为优化政务服务、提升行政效能的重要抓手，重点推进企业信息变更、开办餐饮店、企业注销登记等“一件事”。持续加强行风建设，以建设审批服务领域行风满意窗口、打造日常监管减负增效新样板、打造贴心服务的12315品牌等为重点，进一步提高履职能力和水平。</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（三）严格规范公正文明执法，强化行政执法监督。</w:t>
      </w:r>
      <w:r>
        <w:rPr>
          <w:rFonts w:hint="eastAsia" w:ascii="仿宋_GB2312" w:eastAsia="仿宋_GB2312"/>
          <w:sz w:val="32"/>
          <w:szCs w:val="32"/>
        </w:rPr>
        <w:t>落实《提升行政执法质量三年行动计划（2023-2025年）》及实施方案，加强行政执法队伍建设，全面推进严格规范公正文明执法，确保行政执法质量提升。</w:t>
      </w:r>
    </w:p>
    <w:p>
      <w:pPr>
        <w:spacing w:line="560" w:lineRule="exact"/>
        <w:ind w:firstLine="640" w:firstLineChars="200"/>
        <w:rPr>
          <w:rFonts w:ascii="仿宋_GB2312" w:eastAsia="仿宋_GB2312"/>
          <w:sz w:val="32"/>
          <w:szCs w:val="32"/>
        </w:rPr>
      </w:pPr>
    </w:p>
    <w:p>
      <w:pPr>
        <w:spacing w:line="560" w:lineRule="exact"/>
        <w:ind w:firstLine="640" w:firstLineChars="200"/>
        <w:rPr>
          <w:rFonts w:ascii="仿宋_GB2312" w:eastAsia="仿宋_GB2312"/>
          <w:sz w:val="32"/>
          <w:szCs w:val="32"/>
        </w:rPr>
      </w:pPr>
    </w:p>
    <w:p>
      <w:pPr>
        <w:spacing w:line="560" w:lineRule="exact"/>
        <w:ind w:firstLine="640" w:firstLineChars="200"/>
        <w:rPr>
          <w:rFonts w:ascii="仿宋_GB2312" w:eastAsia="仿宋_GB2312"/>
          <w:sz w:val="32"/>
          <w:szCs w:val="32"/>
        </w:rPr>
      </w:pPr>
    </w:p>
    <w:p>
      <w:pPr>
        <w:pStyle w:val="2"/>
        <w:rPr>
          <w:rFonts w:ascii="仿宋_GB2312" w:eastAsia="仿宋_GB2312"/>
          <w:sz w:val="32"/>
          <w:szCs w:val="32"/>
        </w:rPr>
      </w:pPr>
    </w:p>
    <w:p>
      <w:pPr>
        <w:rPr>
          <w:rFonts w:ascii="仿宋_GB2312" w:eastAsia="仿宋_GB2312"/>
          <w:sz w:val="32"/>
          <w:szCs w:val="32"/>
        </w:rPr>
      </w:pPr>
    </w:p>
    <w:p>
      <w:pPr>
        <w:pStyle w:val="2"/>
        <w:ind w:left="0" w:leftChars="0" w:firstLine="0" w:firstLineChars="0"/>
        <w:rPr>
          <w:rFonts w:ascii="仿宋_GB2312" w:eastAsia="仿宋_GB2312"/>
          <w:sz w:val="32"/>
          <w:szCs w:val="32"/>
        </w:rPr>
      </w:pPr>
    </w:p>
    <w:p>
      <w:pPr>
        <w:rPr>
          <w:rFonts w:ascii="仿宋_GB2312" w:eastAsia="仿宋_GB2312"/>
          <w:sz w:val="32"/>
          <w:szCs w:val="32"/>
        </w:rPr>
      </w:pPr>
    </w:p>
    <w:p>
      <w:pPr>
        <w:pStyle w:val="2"/>
      </w:pPr>
    </w:p>
    <w:p/>
    <w:p>
      <w:pPr>
        <w:pStyle w:val="2"/>
      </w:pPr>
    </w:p>
    <w:p/>
    <w:p>
      <w:pPr>
        <w:pStyle w:val="2"/>
      </w:pPr>
    </w:p>
    <w:p>
      <w:pPr>
        <w:pStyle w:val="10"/>
        <w:widowControl/>
        <w:spacing w:before="0" w:beforeAutospacing="0" w:after="0" w:afterAutospacing="0" w:line="450" w:lineRule="atLeast"/>
        <w:jc w:val="both"/>
        <w:rPr>
          <w:rFonts w:hint="eastAsia" w:ascii="仿宋_GB2312" w:hAnsi="仿宋_GB2312" w:eastAsia="仿宋_GB2312" w:cs="仿宋_GB2312"/>
          <w:b w:val="0"/>
          <w:bCs w:val="0"/>
          <w:i w:val="0"/>
          <w:caps w:val="0"/>
          <w:color w:val="000000"/>
          <w:spacing w:val="0"/>
          <w:sz w:val="32"/>
          <w:szCs w:val="32"/>
          <w:lang w:val="en-US" w:eastAsia="zh-CN"/>
        </w:rPr>
      </w:pPr>
    </w:p>
    <w:p>
      <w:pPr>
        <w:rPr>
          <w:rFonts w:hint="eastAsia"/>
        </w:rPr>
      </w:pPr>
      <w:r>
        <w:rPr>
          <w:rFonts w:hint="eastAsia" w:ascii="仿宋_GB2312" w:hAnsi="仿宋" w:eastAsia="仿宋_GB2312"/>
          <w:sz w:val="32"/>
          <w:szCs w:val="32"/>
        </w:rPr>
        <w:t xml:space="preserve">      </w:t>
      </w:r>
    </w:p>
    <w:p>
      <w:pPr>
        <w:spacing w:line="560" w:lineRule="exact"/>
        <w:ind w:right="338" w:rightChars="161" w:firstLine="272" w:firstLineChars="100"/>
        <w:rPr>
          <w:rFonts w:hint="eastAsia" w:ascii="宋体" w:hAnsi="宋体" w:cs="宋体"/>
          <w:sz w:val="28"/>
          <w:szCs w:val="28"/>
        </w:rPr>
      </w:pPr>
      <w:r>
        <w:rPr>
          <w:rFonts w:hint="eastAsia" w:ascii="宋体" w:hAnsi="宋体" w:cs="宋体"/>
          <w:spacing w:val="-4"/>
          <w:sz w:val="28"/>
          <w:szCs w:val="28"/>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449580</wp:posOffset>
                </wp:positionV>
                <wp:extent cx="5297805" cy="0"/>
                <wp:effectExtent l="0" t="0" r="0" b="0"/>
                <wp:wrapNone/>
                <wp:docPr id="3" name="直接连接符 3"/>
                <wp:cNvGraphicFramePr/>
                <a:graphic xmlns:a="http://schemas.openxmlformats.org/drawingml/2006/main">
                  <a:graphicData uri="http://schemas.microsoft.com/office/word/2010/wordprocessingShape">
                    <wps:wsp>
                      <wps:cNvCnPr/>
                      <wps:spPr>
                        <a:xfrm>
                          <a:off x="0" y="0"/>
                          <a:ext cx="5297805" cy="0"/>
                        </a:xfrm>
                        <a:prstGeom prst="line">
                          <a:avLst/>
                        </a:prstGeom>
                        <a:ln w="1587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pt;margin-top:35.4pt;height:0pt;width:417.15pt;z-index:251662336;mso-width-relative:page;mso-height-relative:page;" filled="f" stroked="t" coordsize="21600,21600" o:gfxdata="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0aUZ1QAAAAYBAAAPAAAAAAAA&#10;AAEAIAAAACIAAABkcnMvZG93bnJldi54bWxQSwECFAAUAAAACACHTuJA8zqbI9wBAACXAwAADgAA&#10;AAAAAAABACAAAAAkAQAAZHJzL2Uyb0RvYy54bWxQSwUGAAAAAAYABgBZAQAAcgUAAAAA&#10;">
                <v:fill on="f" focussize="0,0"/>
                <v:stroke weight="1.25pt" color="#000000" joinstyle="round"/>
                <v:imagedata o:title=""/>
                <o:lock v:ext="edit" aspectratio="f"/>
              </v:line>
            </w:pict>
          </mc:Fallback>
        </mc:AlternateContent>
      </w:r>
      <w:r>
        <w:rPr>
          <w:rFonts w:hint="eastAsia" w:ascii="宋体" w:hAnsi="宋体" w:cs="宋体"/>
          <w:spacing w:val="-4"/>
          <w:sz w:val="28"/>
          <w:szCs w:val="28"/>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71755</wp:posOffset>
                </wp:positionV>
                <wp:extent cx="5297805" cy="0"/>
                <wp:effectExtent l="0" t="0" r="0" b="0"/>
                <wp:wrapNone/>
                <wp:docPr id="5" name="直接连接符 5"/>
                <wp:cNvGraphicFramePr/>
                <a:graphic xmlns:a="http://schemas.openxmlformats.org/drawingml/2006/main">
                  <a:graphicData uri="http://schemas.microsoft.com/office/word/2010/wordprocessingShape">
                    <wps:wsp>
                      <wps:cNvCnPr/>
                      <wps:spPr>
                        <a:xfrm>
                          <a:off x="0" y="0"/>
                          <a:ext cx="5297805" cy="0"/>
                        </a:xfrm>
                        <a:prstGeom prst="line">
                          <a:avLst/>
                        </a:prstGeom>
                        <a:ln w="1587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pt;margin-top:5.65pt;height:0pt;width:417.15pt;z-index:251661312;mso-width-relative:page;mso-height-relative:page;" filled="f" stroked="t" coordsize="21600,21600" o:gfxdata="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U6loL9UAAAAGAQAADwAAAAAAAAAB&#10;ACAAAAAiAAAAZHJzL2Rvd25yZXYueG1sUEsBAhQAFAAAAAgAh07iQOSnJYbaAQAAlwMAAA4AAAAA&#10;AAAAAQAgAAAAJAEAAGRycy9lMm9Eb2MueG1sUEsFBgAAAAAGAAYAWQEAAHAFAAAAAA==&#10;">
                <v:fill on="f" focussize="0,0"/>
                <v:stroke weight="1.25pt" color="#000000" joinstyle="round"/>
                <v:imagedata o:title=""/>
                <o:lock v:ext="edit" aspectratio="f"/>
              </v:line>
            </w:pict>
          </mc:Fallback>
        </mc:AlternateContent>
      </w:r>
      <w:r>
        <w:rPr>
          <w:rFonts w:hint="eastAsia" w:ascii="宋体" w:hAnsi="宋体" w:cs="宋体"/>
          <w:spacing w:val="-4"/>
          <w:sz w:val="28"/>
          <w:szCs w:val="28"/>
        </w:rPr>
        <w:t>天津市西青区市场监督管理局办公室     20</w:t>
      </w:r>
      <w:r>
        <w:rPr>
          <w:rFonts w:hint="eastAsia" w:ascii="宋体" w:hAnsi="宋体" w:cs="宋体"/>
          <w:spacing w:val="-4"/>
          <w:sz w:val="28"/>
          <w:szCs w:val="28"/>
          <w:lang w:val="en-US" w:eastAsia="zh-CN"/>
        </w:rPr>
        <w:t>24</w:t>
      </w:r>
      <w:r>
        <w:rPr>
          <w:rFonts w:hint="eastAsia" w:ascii="宋体" w:hAnsi="宋体" w:cs="宋体"/>
          <w:spacing w:val="-4"/>
          <w:sz w:val="28"/>
          <w:szCs w:val="28"/>
        </w:rPr>
        <w:t>年12月</w:t>
      </w:r>
      <w:r>
        <w:rPr>
          <w:rFonts w:hint="eastAsia" w:ascii="宋体" w:hAnsi="宋体" w:cs="宋体"/>
          <w:spacing w:val="-4"/>
          <w:sz w:val="28"/>
          <w:szCs w:val="28"/>
          <w:lang w:val="en-US" w:eastAsia="zh-CN"/>
        </w:rPr>
        <w:t>31</w:t>
      </w:r>
      <w:r>
        <w:rPr>
          <w:rFonts w:hint="eastAsia" w:ascii="宋体" w:hAnsi="宋体" w:cs="宋体"/>
          <w:spacing w:val="-4"/>
          <w:sz w:val="28"/>
          <w:szCs w:val="28"/>
        </w:rPr>
        <w:t>日印发</w:t>
      </w:r>
    </w:p>
    <w:p>
      <w:pPr>
        <w:spacing w:line="560" w:lineRule="exact"/>
        <w:rPr>
          <w:rFonts w:ascii="仿宋_GB2312" w:eastAsia="仿宋_GB2312"/>
          <w:sz w:val="32"/>
          <w:szCs w:val="32"/>
        </w:rPr>
      </w:pPr>
    </w:p>
    <w:sectPr>
      <w:footerReference r:id="rId3" w:type="default"/>
      <w:pgSz w:w="11906" w:h="16838"/>
      <w:pgMar w:top="2098" w:right="1474" w:bottom="1701" w:left="1588" w:header="1134" w:footer="1134"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asciiTheme="majorEastAsia" w:hAnsiTheme="majorEastAsia" w:eastAsiaTheme="majorEastAsia" w:cstheme="majorEastAsia"/>
                              <w:sz w:val="28"/>
                              <w:szCs w:val="28"/>
                            </w:rPr>
                            <w:t>- 6 -</w:t>
                          </w:r>
                          <w:r>
                            <w:rPr>
                              <w:rFonts w:hint="eastAsia" w:asciiTheme="majorEastAsia" w:hAnsiTheme="majorEastAsia" w:eastAsiaTheme="majorEastAsia" w:cstheme="maj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pStyle w:val="8"/>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asciiTheme="majorEastAsia" w:hAnsiTheme="majorEastAsia" w:eastAsiaTheme="majorEastAsia" w:cstheme="majorEastAsia"/>
                        <w:sz w:val="28"/>
                        <w:szCs w:val="28"/>
                      </w:rPr>
                      <w:t>- 6 -</w:t>
                    </w:r>
                    <w:r>
                      <w:rPr>
                        <w:rFonts w:hint="eastAsia" w:asciiTheme="majorEastAsia" w:hAnsiTheme="majorEastAsia" w:eastAsiaTheme="majorEastAsia" w:cstheme="maj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422A37"/>
    <w:rsid w:val="003D41D9"/>
    <w:rsid w:val="0061155E"/>
    <w:rsid w:val="0061630E"/>
    <w:rsid w:val="007E6A35"/>
    <w:rsid w:val="008C224B"/>
    <w:rsid w:val="00D10A4A"/>
    <w:rsid w:val="00E2492B"/>
    <w:rsid w:val="00EB3AD7"/>
    <w:rsid w:val="03422A37"/>
    <w:rsid w:val="05084537"/>
    <w:rsid w:val="064E36F5"/>
    <w:rsid w:val="066C36B1"/>
    <w:rsid w:val="07196CB4"/>
    <w:rsid w:val="08410930"/>
    <w:rsid w:val="09AA6958"/>
    <w:rsid w:val="0A0A57FB"/>
    <w:rsid w:val="0CE801A6"/>
    <w:rsid w:val="0D6C670D"/>
    <w:rsid w:val="11BD75F7"/>
    <w:rsid w:val="158B55A3"/>
    <w:rsid w:val="15E96C0C"/>
    <w:rsid w:val="16E276A1"/>
    <w:rsid w:val="175C51DF"/>
    <w:rsid w:val="1A8C3588"/>
    <w:rsid w:val="1AEA51B8"/>
    <w:rsid w:val="1CB305C0"/>
    <w:rsid w:val="1D4D0C02"/>
    <w:rsid w:val="1FEC758C"/>
    <w:rsid w:val="20B05957"/>
    <w:rsid w:val="2138636E"/>
    <w:rsid w:val="23F673D2"/>
    <w:rsid w:val="27A44BCB"/>
    <w:rsid w:val="2A8C398B"/>
    <w:rsid w:val="2BF377BC"/>
    <w:rsid w:val="2C21648E"/>
    <w:rsid w:val="2DD12008"/>
    <w:rsid w:val="2E6966E5"/>
    <w:rsid w:val="2F0238B7"/>
    <w:rsid w:val="307F72F9"/>
    <w:rsid w:val="30816709"/>
    <w:rsid w:val="3131039A"/>
    <w:rsid w:val="3154041B"/>
    <w:rsid w:val="36741179"/>
    <w:rsid w:val="374970B3"/>
    <w:rsid w:val="376F6B4B"/>
    <w:rsid w:val="389C7507"/>
    <w:rsid w:val="3CB74ABF"/>
    <w:rsid w:val="3D4B59B3"/>
    <w:rsid w:val="438606A0"/>
    <w:rsid w:val="459335B1"/>
    <w:rsid w:val="463501FB"/>
    <w:rsid w:val="46EF721A"/>
    <w:rsid w:val="4C6A6F06"/>
    <w:rsid w:val="4D41465D"/>
    <w:rsid w:val="50744D49"/>
    <w:rsid w:val="509C0D4E"/>
    <w:rsid w:val="555D3FFE"/>
    <w:rsid w:val="558317E3"/>
    <w:rsid w:val="55CE2102"/>
    <w:rsid w:val="57486711"/>
    <w:rsid w:val="578A2223"/>
    <w:rsid w:val="58F53A3C"/>
    <w:rsid w:val="5917303E"/>
    <w:rsid w:val="593A468E"/>
    <w:rsid w:val="59D87983"/>
    <w:rsid w:val="5A040EEC"/>
    <w:rsid w:val="5B8F74DB"/>
    <w:rsid w:val="5BC546AB"/>
    <w:rsid w:val="5F8E04A2"/>
    <w:rsid w:val="618666BC"/>
    <w:rsid w:val="64524F4A"/>
    <w:rsid w:val="66112BE7"/>
    <w:rsid w:val="67996F5F"/>
    <w:rsid w:val="6B11333C"/>
    <w:rsid w:val="6C3F47E5"/>
    <w:rsid w:val="6E555F2B"/>
    <w:rsid w:val="74CB255F"/>
    <w:rsid w:val="7A3213C4"/>
    <w:rsid w:val="7AF20B4F"/>
    <w:rsid w:val="7B493375"/>
    <w:rsid w:val="7D45796F"/>
    <w:rsid w:val="7E27775B"/>
    <w:rsid w:val="B3DAD582"/>
    <w:rsid w:val="BEDF2E0F"/>
    <w:rsid w:val="DB5D90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qFormat="1"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Layout w:type="fixed"/>
      <w:tblCellMar>
        <w:top w:w="0" w:type="dxa"/>
        <w:left w:w="108" w:type="dxa"/>
        <w:bottom w:w="0" w:type="dxa"/>
        <w:right w:w="108" w:type="dxa"/>
      </w:tblCellMar>
    </w:tblPr>
  </w:style>
  <w:style w:type="paragraph" w:styleId="2">
    <w:name w:val="toc 9"/>
    <w:basedOn w:val="1"/>
    <w:next w:val="1"/>
    <w:qFormat/>
    <w:uiPriority w:val="0"/>
    <w:pPr>
      <w:ind w:left="3360"/>
    </w:pPr>
  </w:style>
  <w:style w:type="paragraph" w:styleId="3">
    <w:name w:val="Normal Indent"/>
    <w:basedOn w:val="1"/>
    <w:unhideWhenUsed/>
    <w:qFormat/>
    <w:uiPriority w:val="99"/>
    <w:pPr>
      <w:ind w:firstLine="420" w:firstLineChars="200"/>
    </w:pPr>
  </w:style>
  <w:style w:type="paragraph" w:styleId="4">
    <w:name w:val="Body Text"/>
    <w:basedOn w:val="1"/>
    <w:qFormat/>
    <w:uiPriority w:val="1"/>
    <w:pPr>
      <w:autoSpaceDE w:val="0"/>
      <w:autoSpaceDN w:val="0"/>
      <w:jc w:val="left"/>
    </w:pPr>
    <w:rPr>
      <w:rFonts w:ascii="宋体" w:hAnsi="宋体" w:cs="宋体"/>
      <w:kern w:val="0"/>
      <w:sz w:val="32"/>
      <w:szCs w:val="32"/>
      <w:lang w:val="zh-CN" w:bidi="zh-CN"/>
    </w:rPr>
  </w:style>
  <w:style w:type="paragraph" w:styleId="5">
    <w:name w:val="Body Text Indent"/>
    <w:basedOn w:val="1"/>
    <w:next w:val="6"/>
    <w:unhideWhenUsed/>
    <w:qFormat/>
    <w:uiPriority w:val="99"/>
    <w:pPr>
      <w:ind w:firstLine="645"/>
    </w:pPr>
    <w:rPr>
      <w:rFonts w:eastAsia="仿宋_GB2312"/>
      <w:sz w:val="32"/>
    </w:rPr>
  </w:style>
  <w:style w:type="paragraph" w:styleId="6">
    <w:name w:val="Body Text First Indent 2"/>
    <w:basedOn w:val="5"/>
    <w:next w:val="1"/>
    <w:unhideWhenUsed/>
    <w:qFormat/>
    <w:uiPriority w:val="99"/>
    <w:pPr>
      <w:spacing w:after="120"/>
      <w:ind w:left="200" w:leftChars="200" w:firstLine="420" w:firstLineChars="200"/>
    </w:pPr>
    <w:rPr>
      <w:rFonts w:ascii="Times New Roman"/>
    </w:rPr>
  </w:style>
  <w:style w:type="paragraph" w:styleId="7">
    <w:name w:val="Balloon Text"/>
    <w:basedOn w:val="1"/>
    <w:link w:val="13"/>
    <w:qFormat/>
    <w:uiPriority w:val="0"/>
    <w:rPr>
      <w:sz w:val="18"/>
      <w:szCs w:val="18"/>
    </w:rPr>
  </w:style>
  <w:style w:type="paragraph" w:styleId="8">
    <w:name w:val="footer"/>
    <w:basedOn w:val="1"/>
    <w:next w:val="1"/>
    <w:qFormat/>
    <w:uiPriority w:val="99"/>
    <w:pPr>
      <w:tabs>
        <w:tab w:val="center" w:pos="4153"/>
        <w:tab w:val="right" w:pos="8306"/>
      </w:tabs>
      <w:snapToGrid w:val="0"/>
      <w:jc w:val="left"/>
    </w:pPr>
    <w:rPr>
      <w:sz w:val="18"/>
      <w:szCs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0">
    <w:name w:val="Normal (Web)"/>
    <w:basedOn w:val="1"/>
    <w:unhideWhenUsed/>
    <w:qFormat/>
    <w:uiPriority w:val="99"/>
    <w:pPr>
      <w:spacing w:before="100" w:beforeAutospacing="1" w:after="100" w:afterAutospacing="1"/>
      <w:jc w:val="left"/>
    </w:pPr>
    <w:rPr>
      <w:kern w:val="0"/>
      <w:sz w:val="24"/>
    </w:rPr>
  </w:style>
  <w:style w:type="character" w:customStyle="1" w:styleId="13">
    <w:name w:val="批注框文本 字符"/>
    <w:basedOn w:val="12"/>
    <w:link w:val="7"/>
    <w:qFormat/>
    <w:uiPriority w:val="0"/>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650</Words>
  <Characters>3705</Characters>
  <Lines>30</Lines>
  <Paragraphs>8</Paragraphs>
  <TotalTime>0</TotalTime>
  <ScaleCrop>false</ScaleCrop>
  <LinksUpToDate>false</LinksUpToDate>
  <CharactersWithSpaces>4347</CharactersWithSpaces>
  <Application>WPS Office_11.1.0.8799_F1E327BC-269C-435d-A152-05C5408002CA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2015-08-30T13:55:00Z</dcterms:created>
  <dc:creator>法规科内勤</dc:creator>
  <cp:lastModifiedBy>法规科内勤</cp:lastModifiedBy>
  <cp:lastPrinted>2015-08-30T14:00:00Z</cp:lastPrinted>
  <dcterms:modified xsi:type="dcterms:W3CDTF">2025-12-23T07:54:30Z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2052-11.1.0.8799</vt:lpwstr>
  </property>
  <property fmtid="{D5CDD505-2E9C-101B-9397-08002B2CF9AE}" pid="3" name="ICV">
    <vt:lpwstr>4D60FE1766C044E39AB00A3AE8DCCDF5_13</vt:lpwstr>
  </property>
</Properties>
</file>