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DA2DBB">
      <w:pPr>
        <w:adjustRightInd w:val="0"/>
        <w:snapToGrid w:val="0"/>
        <w:spacing w:line="620" w:lineRule="exact"/>
        <w:rPr>
          <w:rFonts w:ascii="宋体" w:hAnsi="宋体"/>
          <w:sz w:val="28"/>
          <w:szCs w:val="24"/>
        </w:rPr>
      </w:pPr>
      <w:r>
        <w:rPr>
          <w:rFonts w:hint="eastAsia" w:ascii="宋体" w:hAnsi="宋体"/>
          <w:sz w:val="28"/>
          <w:szCs w:val="24"/>
          <w:highlight w:val="none"/>
        </w:rPr>
        <w:t>合同编号：</w:t>
      </w:r>
    </w:p>
    <w:p w14:paraId="4E06E788">
      <w:pPr>
        <w:adjustRightInd w:val="0"/>
        <w:snapToGrid w:val="0"/>
        <w:spacing w:line="620" w:lineRule="exact"/>
        <w:rPr>
          <w:rFonts w:ascii="宋体" w:hAnsi="宋体"/>
          <w:sz w:val="28"/>
          <w:szCs w:val="24"/>
        </w:rPr>
      </w:pPr>
    </w:p>
    <w:p w14:paraId="1EF5AEBF">
      <w:pPr>
        <w:adjustRightInd w:val="0"/>
        <w:snapToGrid w:val="0"/>
        <w:jc w:val="center"/>
        <w:rPr>
          <w:rFonts w:hint="eastAsia" w:ascii="宋体" w:hAnsi="宋体"/>
          <w:b/>
          <w:bCs/>
          <w:sz w:val="72"/>
          <w:szCs w:val="24"/>
        </w:rPr>
      </w:pPr>
    </w:p>
    <w:p w14:paraId="727EE976">
      <w:pPr>
        <w:adjustRightInd w:val="0"/>
        <w:snapToGrid w:val="0"/>
        <w:jc w:val="center"/>
        <w:rPr>
          <w:rFonts w:hint="eastAsia" w:ascii="宋体" w:hAnsi="宋体"/>
          <w:b/>
          <w:bCs/>
          <w:sz w:val="72"/>
          <w:szCs w:val="24"/>
        </w:rPr>
      </w:pPr>
    </w:p>
    <w:p w14:paraId="3B05AF7D">
      <w:pPr>
        <w:adjustRightInd w:val="0"/>
        <w:snapToGrid w:val="0"/>
        <w:jc w:val="center"/>
        <w:rPr>
          <w:rFonts w:ascii="宋体" w:hAnsi="宋体"/>
          <w:b/>
          <w:bCs/>
          <w:sz w:val="72"/>
          <w:szCs w:val="24"/>
        </w:rPr>
      </w:pPr>
      <w:r>
        <w:rPr>
          <w:rFonts w:hint="eastAsia" w:ascii="宋体" w:hAnsi="宋体"/>
          <w:b/>
          <w:bCs/>
          <w:sz w:val="72"/>
          <w:szCs w:val="24"/>
          <w:lang w:eastAsia="zh-CN"/>
        </w:rPr>
        <w:t>技术</w:t>
      </w:r>
      <w:r>
        <w:rPr>
          <w:rFonts w:hint="eastAsia" w:ascii="宋体" w:hAnsi="宋体"/>
          <w:b/>
          <w:bCs/>
          <w:sz w:val="72"/>
          <w:szCs w:val="24"/>
        </w:rPr>
        <w:t>服务合同</w:t>
      </w:r>
    </w:p>
    <w:p w14:paraId="59CF8691">
      <w:pPr>
        <w:adjustRightInd w:val="0"/>
        <w:snapToGrid w:val="0"/>
        <w:spacing w:line="620" w:lineRule="exact"/>
        <w:ind w:firstLine="1103" w:firstLineChars="394"/>
        <w:rPr>
          <w:rFonts w:ascii="宋体" w:hAnsi="宋体"/>
          <w:sz w:val="28"/>
          <w:szCs w:val="24"/>
        </w:rPr>
      </w:pPr>
    </w:p>
    <w:p w14:paraId="2B88661F">
      <w:pPr>
        <w:adjustRightInd w:val="0"/>
        <w:snapToGrid w:val="0"/>
        <w:spacing w:line="620" w:lineRule="exact"/>
        <w:ind w:firstLine="1103" w:firstLineChars="394"/>
        <w:rPr>
          <w:rFonts w:ascii="宋体" w:hAnsi="宋体"/>
          <w:sz w:val="28"/>
          <w:szCs w:val="24"/>
        </w:rPr>
      </w:pPr>
    </w:p>
    <w:p w14:paraId="51B930E1">
      <w:pPr>
        <w:adjustRightInd w:val="0"/>
        <w:snapToGrid w:val="0"/>
        <w:spacing w:line="620" w:lineRule="exact"/>
        <w:ind w:firstLine="1103" w:firstLineChars="394"/>
        <w:rPr>
          <w:rFonts w:ascii="宋体" w:hAnsi="宋体"/>
          <w:sz w:val="28"/>
          <w:szCs w:val="24"/>
        </w:rPr>
      </w:pPr>
    </w:p>
    <w:p w14:paraId="3EFBC20B">
      <w:pPr>
        <w:adjustRightInd w:val="0"/>
        <w:snapToGrid w:val="0"/>
        <w:spacing w:line="620" w:lineRule="exact"/>
        <w:ind w:firstLine="1103" w:firstLineChars="394"/>
        <w:rPr>
          <w:rFonts w:ascii="宋体" w:hAnsi="宋体"/>
          <w:sz w:val="28"/>
          <w:szCs w:val="24"/>
        </w:rPr>
      </w:pPr>
    </w:p>
    <w:p w14:paraId="4A43C4D8">
      <w:pPr>
        <w:adjustRightInd w:val="0"/>
        <w:snapToGrid w:val="0"/>
        <w:spacing w:line="620" w:lineRule="exact"/>
        <w:ind w:firstLine="1103" w:firstLineChars="394"/>
        <w:rPr>
          <w:rFonts w:ascii="宋体" w:hAnsi="宋体"/>
          <w:sz w:val="28"/>
          <w:szCs w:val="24"/>
        </w:rPr>
      </w:pPr>
    </w:p>
    <w:p w14:paraId="5D87CEDC">
      <w:pPr>
        <w:adjustRightInd w:val="0"/>
        <w:snapToGrid w:val="0"/>
        <w:spacing w:line="620" w:lineRule="exact"/>
        <w:ind w:firstLine="1103" w:firstLineChars="394"/>
        <w:jc w:val="left"/>
        <w:rPr>
          <w:rFonts w:hint="eastAsia"/>
          <w:sz w:val="28"/>
          <w:szCs w:val="24"/>
        </w:rPr>
      </w:pPr>
    </w:p>
    <w:p w14:paraId="27601DB7">
      <w:pPr>
        <w:adjustRightInd w:val="0"/>
        <w:snapToGrid w:val="0"/>
        <w:spacing w:line="620" w:lineRule="exact"/>
        <w:ind w:firstLine="1103" w:firstLineChars="394"/>
        <w:jc w:val="left"/>
        <w:rPr>
          <w:rFonts w:hint="eastAsia"/>
          <w:sz w:val="28"/>
          <w:szCs w:val="24"/>
        </w:rPr>
      </w:pPr>
    </w:p>
    <w:p w14:paraId="7DA2A6B3">
      <w:pPr>
        <w:adjustRightInd w:val="0"/>
        <w:snapToGrid w:val="0"/>
        <w:spacing w:line="620" w:lineRule="exact"/>
        <w:ind w:firstLine="1103" w:firstLineChars="394"/>
        <w:jc w:val="left"/>
        <w:rPr>
          <w:rFonts w:hint="eastAsia"/>
          <w:sz w:val="28"/>
          <w:szCs w:val="24"/>
        </w:rPr>
      </w:pPr>
    </w:p>
    <w:p w14:paraId="479B7073">
      <w:pPr>
        <w:keepNext w:val="0"/>
        <w:keepLines w:val="0"/>
        <w:pageBreakBefore w:val="0"/>
        <w:widowControl w:val="0"/>
        <w:kinsoku/>
        <w:wordWrap/>
        <w:overflowPunct/>
        <w:topLinePunct w:val="0"/>
        <w:autoSpaceDE/>
        <w:autoSpaceDN/>
        <w:bidi w:val="0"/>
        <w:adjustRightInd w:val="0"/>
        <w:snapToGrid w:val="0"/>
        <w:spacing w:line="500" w:lineRule="exact"/>
        <w:ind w:left="1680" w:hanging="1464" w:hangingChars="523"/>
        <w:textAlignment w:val="auto"/>
        <w:rPr>
          <w:rFonts w:hint="eastAsia" w:asciiTheme="majorEastAsia" w:hAnsiTheme="majorEastAsia" w:eastAsiaTheme="majorEastAsia" w:cstheme="majorEastAsia"/>
          <w:b w:val="0"/>
          <w:bCs/>
          <w:sz w:val="28"/>
          <w:szCs w:val="28"/>
          <w:lang w:eastAsia="zh-CN"/>
        </w:rPr>
      </w:pPr>
      <w:r>
        <w:rPr>
          <w:rFonts w:hint="eastAsia" w:asciiTheme="majorEastAsia" w:hAnsiTheme="majorEastAsia" w:eastAsiaTheme="majorEastAsia" w:cstheme="majorEastAsia"/>
          <w:sz w:val="28"/>
          <w:szCs w:val="24"/>
        </w:rPr>
        <w:t>项目名称：</w:t>
      </w:r>
      <w:r>
        <w:rPr>
          <w:rFonts w:hint="eastAsia" w:asciiTheme="majorEastAsia" w:hAnsiTheme="majorEastAsia" w:eastAsiaTheme="majorEastAsia" w:cstheme="majorEastAsia"/>
          <w:b w:val="0"/>
          <w:bCs/>
          <w:sz w:val="28"/>
          <w:szCs w:val="28"/>
          <w:lang w:val="en-US" w:eastAsia="zh-CN"/>
        </w:rPr>
        <w:t>2026年度天津市</w:t>
      </w:r>
      <w:r>
        <w:rPr>
          <w:rFonts w:hint="eastAsia" w:asciiTheme="majorEastAsia" w:hAnsiTheme="majorEastAsia" w:eastAsiaTheme="majorEastAsia" w:cstheme="majorEastAsia"/>
          <w:b w:val="0"/>
          <w:bCs/>
          <w:sz w:val="28"/>
          <w:szCs w:val="28"/>
          <w:lang w:eastAsia="zh-CN"/>
        </w:rPr>
        <w:t>西青区“五好两宜”和美乡村试点试验</w:t>
      </w:r>
    </w:p>
    <w:p w14:paraId="5B15BA5E">
      <w:pPr>
        <w:keepNext w:val="0"/>
        <w:keepLines w:val="0"/>
        <w:pageBreakBefore w:val="0"/>
        <w:widowControl w:val="0"/>
        <w:kinsoku/>
        <w:wordWrap/>
        <w:overflowPunct/>
        <w:topLinePunct w:val="0"/>
        <w:autoSpaceDE/>
        <w:autoSpaceDN/>
        <w:bidi w:val="0"/>
        <w:adjustRightInd w:val="0"/>
        <w:snapToGrid w:val="0"/>
        <w:spacing w:line="500" w:lineRule="exact"/>
        <w:ind w:left="1460" w:leftChars="665" w:hanging="64" w:hangingChars="23"/>
        <w:textAlignment w:val="auto"/>
        <w:rPr>
          <w:rFonts w:hint="eastAsia" w:asciiTheme="majorEastAsia" w:hAnsiTheme="majorEastAsia" w:eastAsiaTheme="majorEastAsia" w:cstheme="majorEastAsia"/>
          <w:b w:val="0"/>
          <w:bCs/>
          <w:sz w:val="28"/>
          <w:szCs w:val="28"/>
          <w:lang w:eastAsia="zh-CN"/>
        </w:rPr>
      </w:pPr>
      <w:r>
        <w:rPr>
          <w:rFonts w:hint="eastAsia" w:asciiTheme="majorEastAsia" w:hAnsiTheme="majorEastAsia" w:eastAsiaTheme="majorEastAsia" w:cstheme="majorEastAsia"/>
          <w:b w:val="0"/>
          <w:bCs/>
          <w:sz w:val="28"/>
          <w:szCs w:val="28"/>
          <w:lang w:eastAsia="zh-CN"/>
        </w:rPr>
        <w:t>实施方案</w:t>
      </w:r>
    </w:p>
    <w:p w14:paraId="1AAE9AB7">
      <w:pPr>
        <w:keepNext w:val="0"/>
        <w:keepLines w:val="0"/>
        <w:pageBreakBefore w:val="0"/>
        <w:widowControl w:val="0"/>
        <w:kinsoku/>
        <w:wordWrap/>
        <w:overflowPunct/>
        <w:topLinePunct w:val="0"/>
        <w:autoSpaceDE/>
        <w:autoSpaceDN/>
        <w:bidi w:val="0"/>
        <w:adjustRightInd w:val="0"/>
        <w:snapToGrid w:val="0"/>
        <w:spacing w:line="500" w:lineRule="exact"/>
        <w:ind w:firstLine="1400" w:firstLineChars="500"/>
        <w:textAlignment w:val="auto"/>
        <w:rPr>
          <w:rFonts w:hint="eastAsia" w:asciiTheme="majorEastAsia" w:hAnsiTheme="majorEastAsia" w:eastAsiaTheme="majorEastAsia" w:cstheme="majorEastAsia"/>
          <w:b w:val="0"/>
          <w:bCs/>
          <w:sz w:val="28"/>
          <w:szCs w:val="28"/>
          <w:lang w:eastAsia="zh-CN"/>
        </w:rPr>
      </w:pPr>
    </w:p>
    <w:p w14:paraId="30C7A738">
      <w:pPr>
        <w:adjustRightInd w:val="0"/>
        <w:snapToGrid w:val="0"/>
        <w:spacing w:line="620" w:lineRule="exact"/>
        <w:jc w:val="left"/>
        <w:rPr>
          <w:rFonts w:hint="eastAsia" w:asciiTheme="majorEastAsia" w:hAnsiTheme="majorEastAsia" w:eastAsiaTheme="majorEastAsia" w:cstheme="majorEastAsia"/>
          <w:sz w:val="28"/>
          <w:szCs w:val="24"/>
        </w:rPr>
      </w:pPr>
    </w:p>
    <w:p w14:paraId="114FD34B">
      <w:pPr>
        <w:adjustRightInd w:val="0"/>
        <w:snapToGrid w:val="0"/>
        <w:spacing w:line="620" w:lineRule="exact"/>
        <w:jc w:val="left"/>
        <w:rPr>
          <w:rFonts w:hint="eastAsia" w:asciiTheme="majorEastAsia" w:hAnsiTheme="majorEastAsia" w:eastAsiaTheme="majorEastAsia" w:cstheme="majorEastAsia"/>
          <w:sz w:val="28"/>
          <w:szCs w:val="24"/>
        </w:rPr>
      </w:pPr>
      <w:r>
        <w:rPr>
          <w:rFonts w:hint="eastAsia" w:asciiTheme="majorEastAsia" w:hAnsiTheme="majorEastAsia" w:eastAsiaTheme="majorEastAsia" w:cstheme="majorEastAsia"/>
          <w:sz w:val="28"/>
          <w:szCs w:val="24"/>
        </w:rPr>
        <w:t>委托方（甲方）：</w:t>
      </w:r>
      <w:r>
        <w:rPr>
          <w:rFonts w:hint="eastAsia" w:asciiTheme="majorEastAsia" w:hAnsiTheme="majorEastAsia" w:eastAsiaTheme="majorEastAsia" w:cstheme="majorEastAsia"/>
          <w:sz w:val="28"/>
          <w:szCs w:val="28"/>
          <w:lang w:eastAsia="zh-CN"/>
        </w:rPr>
        <w:t>天津市西青区农业农村委员会</w:t>
      </w:r>
    </w:p>
    <w:p w14:paraId="714B1A46">
      <w:pPr>
        <w:adjustRightInd w:val="0"/>
        <w:snapToGrid w:val="0"/>
        <w:spacing w:line="620" w:lineRule="exact"/>
        <w:jc w:val="left"/>
        <w:rPr>
          <w:rFonts w:hint="eastAsia" w:asciiTheme="majorEastAsia" w:hAnsiTheme="majorEastAsia" w:eastAsiaTheme="majorEastAsia" w:cstheme="majorEastAsia"/>
          <w:sz w:val="28"/>
          <w:szCs w:val="24"/>
        </w:rPr>
      </w:pPr>
    </w:p>
    <w:p w14:paraId="268F5366">
      <w:pPr>
        <w:adjustRightInd w:val="0"/>
        <w:snapToGrid w:val="0"/>
        <w:spacing w:line="620" w:lineRule="exact"/>
        <w:jc w:val="left"/>
        <w:rPr>
          <w:rFonts w:hint="eastAsia" w:asciiTheme="majorEastAsia" w:hAnsiTheme="majorEastAsia" w:eastAsiaTheme="majorEastAsia" w:cstheme="majorEastAsia"/>
          <w:sz w:val="28"/>
          <w:szCs w:val="24"/>
        </w:rPr>
      </w:pPr>
      <w:r>
        <w:rPr>
          <w:rFonts w:hint="eastAsia" w:asciiTheme="majorEastAsia" w:hAnsiTheme="majorEastAsia" w:eastAsiaTheme="majorEastAsia" w:cstheme="majorEastAsia"/>
          <w:sz w:val="28"/>
          <w:szCs w:val="24"/>
        </w:rPr>
        <w:t>受托方（乙方）：农业农村部环境保护科研监测所</w:t>
      </w:r>
    </w:p>
    <w:p w14:paraId="1344A53C">
      <w:pPr>
        <w:adjustRightInd w:val="0"/>
        <w:snapToGrid w:val="0"/>
        <w:spacing w:line="620" w:lineRule="exact"/>
        <w:jc w:val="center"/>
        <w:rPr>
          <w:bCs/>
          <w:sz w:val="28"/>
          <w:szCs w:val="24"/>
        </w:rPr>
      </w:pPr>
      <w:r>
        <w:rPr>
          <w:rFonts w:hint="eastAsia" w:ascii="宋体" w:hAnsi="宋体"/>
          <w:b/>
          <w:sz w:val="28"/>
          <w:szCs w:val="24"/>
        </w:rPr>
        <w:br w:type="page"/>
      </w:r>
      <w:r>
        <w:rPr>
          <w:rFonts w:hint="eastAsia"/>
          <w:b/>
          <w:sz w:val="36"/>
          <w:szCs w:val="36"/>
          <w:lang w:eastAsia="zh-CN"/>
        </w:rPr>
        <w:t>技术</w:t>
      </w:r>
      <w:r>
        <w:rPr>
          <w:rFonts w:hint="eastAsia"/>
          <w:b/>
          <w:sz w:val="36"/>
          <w:szCs w:val="36"/>
        </w:rPr>
        <w:t>服务合同</w:t>
      </w:r>
    </w:p>
    <w:p w14:paraId="059F571D">
      <w:pPr>
        <w:adjustRightInd w:val="0"/>
        <w:snapToGrid w:val="0"/>
        <w:spacing w:line="620" w:lineRule="exact"/>
        <w:rPr>
          <w:sz w:val="28"/>
          <w:szCs w:val="24"/>
        </w:rPr>
      </w:pPr>
      <w:r>
        <w:rPr>
          <w:rFonts w:hint="eastAsia"/>
          <w:sz w:val="28"/>
          <w:szCs w:val="24"/>
        </w:rPr>
        <w:t xml:space="preserve">  </w:t>
      </w:r>
    </w:p>
    <w:p w14:paraId="48C75204">
      <w:pPr>
        <w:keepNext w:val="0"/>
        <w:keepLines w:val="0"/>
        <w:pageBreakBefore w:val="0"/>
        <w:wordWrap/>
        <w:overflowPunct/>
        <w:topLinePunct w:val="0"/>
        <w:bidi w:val="0"/>
        <w:adjustRightInd w:val="0"/>
        <w:snapToGrid w:val="0"/>
        <w:spacing w:line="620" w:lineRule="exact"/>
        <w:ind w:firstLine="479" w:firstLineChars="199"/>
        <w:rPr>
          <w:sz w:val="24"/>
          <w:szCs w:val="24"/>
        </w:rPr>
      </w:pPr>
      <w:r>
        <w:rPr>
          <w:rFonts w:hint="eastAsia"/>
          <w:b/>
          <w:bCs/>
          <w:sz w:val="24"/>
          <w:szCs w:val="24"/>
        </w:rPr>
        <w:t>委托方（甲方）：</w:t>
      </w:r>
      <w:r>
        <w:rPr>
          <w:rFonts w:hint="eastAsia"/>
          <w:sz w:val="24"/>
          <w:szCs w:val="24"/>
          <w:lang w:eastAsia="zh-CN"/>
        </w:rPr>
        <w:t>天津市西青区农业农村委员会</w:t>
      </w:r>
    </w:p>
    <w:p w14:paraId="18DB85BC">
      <w:pPr>
        <w:keepNext w:val="0"/>
        <w:keepLines w:val="0"/>
        <w:pageBreakBefore w:val="0"/>
        <w:wordWrap/>
        <w:overflowPunct/>
        <w:topLinePunct w:val="0"/>
        <w:bidi w:val="0"/>
        <w:adjustRightInd w:val="0"/>
        <w:snapToGrid w:val="0"/>
        <w:spacing w:line="620" w:lineRule="exact"/>
        <w:ind w:firstLine="482" w:firstLineChars="200"/>
        <w:jc w:val="left"/>
        <w:rPr>
          <w:sz w:val="24"/>
          <w:szCs w:val="24"/>
        </w:rPr>
      </w:pPr>
      <w:r>
        <w:rPr>
          <w:rFonts w:hint="eastAsia"/>
          <w:b/>
          <w:bCs/>
          <w:sz w:val="24"/>
          <w:szCs w:val="24"/>
        </w:rPr>
        <w:t>受托方（乙方）：</w:t>
      </w:r>
      <w:r>
        <w:rPr>
          <w:rFonts w:hint="eastAsia"/>
          <w:sz w:val="24"/>
          <w:szCs w:val="24"/>
          <w:lang w:eastAsia="zh-CN"/>
        </w:rPr>
        <w:t>农业农村部环境保护科研监测所</w:t>
      </w:r>
    </w:p>
    <w:p w14:paraId="618CA8A2">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3" w:after="120" w:line="620" w:lineRule="exact"/>
        <w:ind w:left="24" w:right="58" w:firstLine="479"/>
        <w:jc w:val="both"/>
        <w:textAlignment w:val="baseline"/>
        <w:rPr>
          <w:rFonts w:hint="eastAsia" w:ascii="宋体" w:hAnsi="宋体" w:eastAsia="宋体" w:cs="宋体"/>
          <w:snapToGrid w:val="0"/>
          <w:color w:val="000000"/>
          <w:spacing w:val="-3"/>
          <w:kern w:val="0"/>
          <w:sz w:val="24"/>
          <w:szCs w:val="24"/>
          <w:highlight w:val="none"/>
          <w:lang w:eastAsia="zh-CN"/>
        </w:rPr>
      </w:pPr>
      <w:r>
        <w:rPr>
          <w:rFonts w:hint="eastAsia" w:ascii="宋体" w:hAnsi="宋体" w:eastAsia="宋体" w:cs="宋体"/>
          <w:snapToGrid w:val="0"/>
          <w:color w:val="000000"/>
          <w:spacing w:val="-3"/>
          <w:kern w:val="0"/>
          <w:sz w:val="24"/>
          <w:szCs w:val="24"/>
          <w:highlight w:val="none"/>
          <w:lang w:eastAsia="en-US"/>
        </w:rPr>
        <w:t>乙双方根据</w:t>
      </w:r>
      <w:r>
        <w:rPr>
          <w:rFonts w:hint="eastAsia" w:ascii="宋体" w:hAnsi="宋体" w:cs="宋体"/>
          <w:snapToGrid w:val="0"/>
          <w:color w:val="000000"/>
          <w:spacing w:val="-3"/>
          <w:kern w:val="0"/>
          <w:sz w:val="24"/>
          <w:szCs w:val="24"/>
          <w:highlight w:val="none"/>
          <w:lang w:val="en-US" w:eastAsia="zh-CN"/>
        </w:rPr>
        <w:t>天津市财政局 天津市农业农村委《关于</w:t>
      </w:r>
      <w:r>
        <w:rPr>
          <w:rFonts w:hint="eastAsia" w:ascii="Times New Roman" w:hAnsi="Times New Roman" w:cs="Times New Roman"/>
          <w:kern w:val="0"/>
          <w:sz w:val="24"/>
          <w:szCs w:val="24"/>
          <w:lang w:val="en-US" w:eastAsia="zh-CN"/>
        </w:rPr>
        <w:t>做好2026年</w:t>
      </w:r>
      <w:r>
        <w:rPr>
          <w:rFonts w:hint="eastAsia" w:ascii="宋体" w:hAnsi="宋体" w:cs="宋体"/>
          <w:snapToGrid w:val="0"/>
          <w:color w:val="000000"/>
          <w:spacing w:val="-3"/>
          <w:kern w:val="0"/>
          <w:sz w:val="24"/>
          <w:szCs w:val="24"/>
          <w:highlight w:val="none"/>
          <w:lang w:val="en-US" w:eastAsia="zh-CN"/>
        </w:rPr>
        <w:t>农村综合改革相关试点试验项目储备工作的通知》</w:t>
      </w:r>
      <w:r>
        <w:rPr>
          <w:rFonts w:hint="eastAsia" w:ascii="宋体" w:hAnsi="宋体" w:eastAsia="宋体" w:cs="宋体"/>
          <w:snapToGrid w:val="0"/>
          <w:color w:val="000000"/>
          <w:spacing w:val="-3"/>
          <w:kern w:val="0"/>
          <w:sz w:val="24"/>
          <w:szCs w:val="24"/>
          <w:highlight w:val="none"/>
          <w:lang w:eastAsia="en-US"/>
        </w:rPr>
        <w:t>要求，经甲乙双方协商一致，达成本服务合同：</w:t>
      </w:r>
    </w:p>
    <w:p w14:paraId="682B217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20" w:lineRule="exact"/>
        <w:ind w:left="503" w:leftChars="0" w:right="58" w:rightChars="0"/>
        <w:jc w:val="both"/>
        <w:textAlignment w:val="baseline"/>
        <w:rPr>
          <w:rFonts w:ascii="宋体" w:hAnsi="宋体" w:eastAsia="宋体" w:cs="宋体"/>
          <w:b/>
          <w:bCs/>
          <w:sz w:val="24"/>
          <w:szCs w:val="24"/>
        </w:rPr>
      </w:pPr>
      <w:r>
        <w:rPr>
          <w:rFonts w:hint="eastAsia" w:ascii="宋体" w:hAnsi="宋体" w:eastAsia="宋体" w:cs="宋体"/>
          <w:b/>
          <w:bCs/>
          <w:sz w:val="24"/>
          <w:szCs w:val="24"/>
        </w:rPr>
        <w:t>第一条 咨询项目</w:t>
      </w:r>
    </w:p>
    <w:p w14:paraId="3D4C3234">
      <w:pPr>
        <w:keepNext w:val="0"/>
        <w:keepLines w:val="0"/>
        <w:pageBreakBefore w:val="0"/>
        <w:wordWrap/>
        <w:overflowPunct/>
        <w:topLinePunct w:val="0"/>
        <w:bidi w:val="0"/>
        <w:adjustRightInd w:val="0"/>
        <w:snapToGrid w:val="0"/>
        <w:spacing w:line="620" w:lineRule="exact"/>
        <w:ind w:firstLine="480" w:firstLineChars="200"/>
        <w:rPr>
          <w:sz w:val="24"/>
          <w:szCs w:val="24"/>
          <w:highlight w:val="none"/>
        </w:rPr>
      </w:pPr>
      <w:r>
        <w:rPr>
          <w:rFonts w:hint="eastAsia" w:ascii="Times New Roman" w:hAnsi="Times New Roman" w:cs="Times New Roman"/>
          <w:kern w:val="0"/>
          <w:sz w:val="24"/>
          <w:szCs w:val="24"/>
          <w:lang w:val="en-US" w:eastAsia="zh-CN"/>
        </w:rPr>
        <w:t>2026年度天津市</w:t>
      </w:r>
      <w:r>
        <w:rPr>
          <w:rFonts w:hint="eastAsia" w:eastAsia="宋体"/>
          <w:sz w:val="24"/>
          <w:szCs w:val="24"/>
          <w:lang w:eastAsia="zh-CN"/>
        </w:rPr>
        <w:t>西青区“五好两宜”和美乡村试点试验实施方案</w:t>
      </w:r>
      <w:r>
        <w:rPr>
          <w:rFonts w:hint="eastAsia"/>
          <w:sz w:val="24"/>
          <w:szCs w:val="24"/>
          <w:highlight w:val="none"/>
        </w:rPr>
        <w:t>项目。</w:t>
      </w:r>
    </w:p>
    <w:p w14:paraId="295103CA">
      <w:pPr>
        <w:pStyle w:val="6"/>
        <w:keepNext w:val="0"/>
        <w:keepLines w:val="0"/>
        <w:pageBreakBefore w:val="0"/>
        <w:wordWrap/>
        <w:overflowPunct/>
        <w:topLinePunct w:val="0"/>
        <w:bidi w:val="0"/>
        <w:spacing w:line="620" w:lineRule="exact"/>
        <w:rPr>
          <w:b/>
          <w:bCs/>
          <w:kern w:val="44"/>
          <w:sz w:val="24"/>
          <w:szCs w:val="24"/>
        </w:rPr>
      </w:pPr>
      <w:r>
        <w:rPr>
          <w:rFonts w:hint="eastAsia"/>
          <w:sz w:val="24"/>
          <w:szCs w:val="24"/>
        </w:rPr>
        <w:t xml:space="preserve">   </w:t>
      </w:r>
      <w:r>
        <w:rPr>
          <w:rFonts w:hint="eastAsia"/>
          <w:sz w:val="24"/>
          <w:szCs w:val="24"/>
          <w:lang w:val="en-US" w:eastAsia="zh-CN"/>
        </w:rPr>
        <w:t xml:space="preserve"> </w:t>
      </w:r>
      <w:r>
        <w:rPr>
          <w:rFonts w:hint="eastAsia" w:ascii="宋体" w:hAnsi="宋体" w:eastAsia="宋体" w:cs="宋体"/>
          <w:b/>
          <w:bCs/>
          <w:sz w:val="24"/>
          <w:szCs w:val="24"/>
        </w:rPr>
        <w:t>第二条 咨询服务要求</w:t>
      </w:r>
    </w:p>
    <w:p w14:paraId="26836779">
      <w:pPr>
        <w:keepNext w:val="0"/>
        <w:keepLines w:val="0"/>
        <w:pageBreakBefore w:val="0"/>
        <w:wordWrap/>
        <w:overflowPunct/>
        <w:topLinePunct w:val="0"/>
        <w:bidi w:val="0"/>
        <w:adjustRightInd w:val="0"/>
        <w:snapToGrid w:val="0"/>
        <w:spacing w:line="620" w:lineRule="exact"/>
        <w:ind w:firstLine="480" w:firstLineChars="200"/>
        <w:rPr>
          <w:sz w:val="24"/>
          <w:szCs w:val="24"/>
          <w:highlight w:val="none"/>
        </w:rPr>
      </w:pPr>
      <w:r>
        <w:rPr>
          <w:rFonts w:hint="eastAsia"/>
          <w:sz w:val="24"/>
          <w:szCs w:val="24"/>
        </w:rPr>
        <w:t>1、工作内容</w:t>
      </w:r>
      <w:r>
        <w:rPr>
          <w:rFonts w:hint="eastAsia"/>
          <w:sz w:val="24"/>
          <w:szCs w:val="24"/>
          <w:lang w:eastAsia="zh-CN"/>
        </w:rPr>
        <w:t>：</w:t>
      </w:r>
      <w:r>
        <w:rPr>
          <w:rFonts w:hint="eastAsia"/>
          <w:sz w:val="24"/>
          <w:szCs w:val="24"/>
          <w:highlight w:val="none"/>
        </w:rPr>
        <w:t>甲方委托乙方就</w:t>
      </w:r>
      <w:r>
        <w:rPr>
          <w:rFonts w:hint="eastAsia" w:ascii="Times New Roman" w:hAnsi="Times New Roman" w:cs="Times New Roman"/>
          <w:kern w:val="0"/>
          <w:sz w:val="24"/>
          <w:szCs w:val="24"/>
          <w:lang w:val="en-US" w:eastAsia="zh-CN"/>
        </w:rPr>
        <w:t>2026年度天津市</w:t>
      </w:r>
      <w:r>
        <w:rPr>
          <w:rFonts w:hint="eastAsia" w:eastAsia="宋体"/>
          <w:sz w:val="24"/>
          <w:szCs w:val="24"/>
          <w:lang w:eastAsia="zh-CN"/>
        </w:rPr>
        <w:t>西青区“五好两宜”和美乡村试点试验实施方案</w:t>
      </w:r>
      <w:r>
        <w:rPr>
          <w:rFonts w:hint="eastAsia"/>
          <w:sz w:val="24"/>
          <w:szCs w:val="24"/>
          <w:highlight w:val="none"/>
        </w:rPr>
        <w:t>项目提供</w:t>
      </w:r>
      <w:r>
        <w:rPr>
          <w:rFonts w:hint="eastAsia"/>
          <w:sz w:val="24"/>
          <w:szCs w:val="24"/>
          <w:highlight w:val="none"/>
          <w:lang w:val="en-US" w:eastAsia="zh-CN"/>
        </w:rPr>
        <w:t>咨询、编制</w:t>
      </w:r>
      <w:r>
        <w:rPr>
          <w:rFonts w:hint="eastAsia"/>
          <w:sz w:val="24"/>
          <w:szCs w:val="24"/>
          <w:highlight w:val="none"/>
        </w:rPr>
        <w:t>服务</w:t>
      </w:r>
      <w:r>
        <w:rPr>
          <w:rFonts w:hint="eastAsia"/>
          <w:sz w:val="24"/>
          <w:szCs w:val="24"/>
          <w:highlight w:val="none"/>
          <w:lang w:eastAsia="zh-CN"/>
        </w:rPr>
        <w:t>等</w:t>
      </w:r>
      <w:r>
        <w:rPr>
          <w:rFonts w:hint="eastAsia"/>
          <w:sz w:val="24"/>
          <w:szCs w:val="24"/>
          <w:highlight w:val="none"/>
        </w:rPr>
        <w:t>。</w:t>
      </w:r>
    </w:p>
    <w:p w14:paraId="49D29B84">
      <w:pPr>
        <w:keepNext w:val="0"/>
        <w:keepLines w:val="0"/>
        <w:pageBreakBefore w:val="0"/>
        <w:wordWrap/>
        <w:overflowPunct/>
        <w:topLinePunct w:val="0"/>
        <w:bidi w:val="0"/>
        <w:adjustRightInd w:val="0"/>
        <w:snapToGrid w:val="0"/>
        <w:spacing w:line="620" w:lineRule="exact"/>
        <w:ind w:firstLine="480" w:firstLineChars="200"/>
        <w:rPr>
          <w:rFonts w:hint="default" w:eastAsia="宋体"/>
          <w:sz w:val="24"/>
          <w:szCs w:val="24"/>
          <w:lang w:val="en-US" w:eastAsia="zh-CN"/>
        </w:rPr>
      </w:pPr>
      <w:r>
        <w:rPr>
          <w:rFonts w:hint="eastAsia"/>
          <w:sz w:val="24"/>
          <w:szCs w:val="24"/>
        </w:rPr>
        <w:t>2、成果形式</w:t>
      </w:r>
      <w:r>
        <w:rPr>
          <w:rFonts w:hint="eastAsia" w:eastAsia="宋体"/>
          <w:sz w:val="24"/>
          <w:szCs w:val="24"/>
          <w:lang w:eastAsia="zh-CN"/>
        </w:rPr>
        <w:t>：</w:t>
      </w:r>
      <w:r>
        <w:rPr>
          <w:rFonts w:hint="eastAsia"/>
          <w:sz w:val="24"/>
          <w:szCs w:val="24"/>
        </w:rPr>
        <w:t>编制形</w:t>
      </w:r>
      <w:r>
        <w:rPr>
          <w:rFonts w:hint="eastAsia" w:ascii="Times New Roman" w:hAnsi="Times New Roman" w:cs="Times New Roman"/>
          <w:kern w:val="0"/>
          <w:sz w:val="24"/>
          <w:szCs w:val="24"/>
          <w:lang w:val="en-US" w:eastAsia="zh-CN"/>
        </w:rPr>
        <w:t>成2026年</w:t>
      </w:r>
      <w:r>
        <w:rPr>
          <w:rFonts w:hint="eastAsia"/>
          <w:sz w:val="24"/>
          <w:szCs w:val="24"/>
          <w:lang w:val="en-US" w:eastAsia="zh-CN"/>
        </w:rPr>
        <w:t>度</w:t>
      </w:r>
      <w:r>
        <w:rPr>
          <w:rFonts w:hint="eastAsia" w:ascii="Times New Roman" w:hAnsi="Times New Roman" w:cs="Times New Roman"/>
          <w:kern w:val="0"/>
          <w:sz w:val="24"/>
          <w:szCs w:val="24"/>
          <w:lang w:val="en-US" w:eastAsia="zh-CN"/>
        </w:rPr>
        <w:t>天津市</w:t>
      </w:r>
      <w:r>
        <w:rPr>
          <w:rFonts w:hint="eastAsia" w:eastAsia="宋体"/>
          <w:sz w:val="24"/>
          <w:szCs w:val="24"/>
          <w:lang w:eastAsia="zh-CN"/>
        </w:rPr>
        <w:t>西青区“五好两宜”和美乡村试点试验实施方案</w:t>
      </w:r>
      <w:r>
        <w:rPr>
          <w:rFonts w:hint="eastAsia" w:ascii="Times New Roman" w:hAnsi="Times New Roman" w:cs="Times New Roman"/>
          <w:kern w:val="0"/>
          <w:sz w:val="24"/>
          <w:szCs w:val="24"/>
          <w:lang w:val="en-US" w:eastAsia="zh-CN"/>
        </w:rPr>
        <w:t>以及项目所需的PPT和文字版材料等。</w:t>
      </w:r>
    </w:p>
    <w:p w14:paraId="0A3B04B7">
      <w:pPr>
        <w:keepNext w:val="0"/>
        <w:keepLines w:val="0"/>
        <w:pageBreakBefore w:val="0"/>
        <w:wordWrap/>
        <w:overflowPunct/>
        <w:topLinePunct w:val="0"/>
        <w:bidi w:val="0"/>
        <w:adjustRightInd w:val="0"/>
        <w:snapToGrid w:val="0"/>
        <w:spacing w:line="620" w:lineRule="exact"/>
        <w:ind w:firstLine="480" w:firstLineChars="200"/>
        <w:rPr>
          <w:rFonts w:hint="eastAsia" w:cs="Times New Roman"/>
          <w:sz w:val="24"/>
          <w:szCs w:val="24"/>
          <w:lang w:eastAsia="zh-CN"/>
        </w:rPr>
      </w:pPr>
      <w:r>
        <w:rPr>
          <w:rFonts w:hint="eastAsia" w:cs="Times New Roman"/>
          <w:sz w:val="24"/>
          <w:szCs w:val="24"/>
          <w:lang w:eastAsia="zh-CN"/>
        </w:rPr>
        <w:t>3、成果标准或要求：服务成果应符合中国法律、法规、规章和相关标准、规范的规定，服务成果符合甲方实际工作需求，并</w:t>
      </w:r>
      <w:r>
        <w:rPr>
          <w:rFonts w:hint="eastAsia" w:cs="Times New Roman"/>
          <w:sz w:val="24"/>
          <w:szCs w:val="24"/>
          <w:lang w:val="en-US" w:eastAsia="zh-CN"/>
        </w:rPr>
        <w:t>通过甲方审核</w:t>
      </w:r>
      <w:r>
        <w:rPr>
          <w:rFonts w:hint="eastAsia" w:cs="Times New Roman"/>
          <w:sz w:val="24"/>
          <w:szCs w:val="24"/>
          <w:lang w:eastAsia="zh-CN"/>
        </w:rPr>
        <w:t>。</w:t>
      </w:r>
    </w:p>
    <w:p w14:paraId="27B974C3">
      <w:pPr>
        <w:keepNext w:val="0"/>
        <w:keepLines w:val="0"/>
        <w:pageBreakBefore w:val="0"/>
        <w:wordWrap/>
        <w:overflowPunct/>
        <w:topLinePunct w:val="0"/>
        <w:bidi w:val="0"/>
        <w:adjustRightInd w:val="0"/>
        <w:snapToGrid w:val="0"/>
        <w:spacing w:line="620" w:lineRule="exact"/>
        <w:ind w:firstLine="480" w:firstLineChars="200"/>
        <w:rPr>
          <w:rFonts w:hint="eastAsia" w:ascii="Times New Roman" w:hAnsi="Times New Roman" w:cs="Times New Roman"/>
          <w:kern w:val="0"/>
          <w:sz w:val="24"/>
          <w:szCs w:val="24"/>
          <w:lang w:val="en-US" w:eastAsia="zh-CN"/>
        </w:rPr>
      </w:pPr>
      <w:r>
        <w:rPr>
          <w:rFonts w:hint="eastAsia"/>
          <w:sz w:val="24"/>
          <w:szCs w:val="24"/>
        </w:rPr>
        <w:t>4、工作进度：合同签订</w:t>
      </w:r>
      <w:r>
        <w:rPr>
          <w:rFonts w:hint="eastAsia" w:ascii="Times New Roman" w:hAnsi="Times New Roman" w:cs="Times New Roman"/>
          <w:kern w:val="0"/>
          <w:sz w:val="24"/>
          <w:szCs w:val="24"/>
          <w:lang w:val="en-US" w:eastAsia="zh-CN"/>
        </w:rPr>
        <w:t>后2日内，甲方根据乙方提供的《资料清单》将资料文件全部提供给乙方（需要补充完善或说明的应按乙方要求完成）。乙方收齐甲方资料后开展咨询工作，根据实际调研等情况编制形成实施方案报告，通过甲方审核后，乙方需向甲方提供成果报告电子版1份，纸质版20份。</w:t>
      </w:r>
    </w:p>
    <w:p w14:paraId="77F84564">
      <w:pPr>
        <w:keepNext w:val="0"/>
        <w:keepLines w:val="0"/>
        <w:pageBreakBefore w:val="0"/>
        <w:wordWrap/>
        <w:overflowPunct/>
        <w:topLinePunct w:val="0"/>
        <w:bidi w:val="0"/>
        <w:adjustRightInd w:val="0"/>
        <w:snapToGrid w:val="0"/>
        <w:spacing w:line="620" w:lineRule="exact"/>
        <w:ind w:firstLine="480" w:firstLineChars="200"/>
        <w:rPr>
          <w:rFonts w:hint="eastAsia" w:eastAsia="宋体" w:cs="Times New Roman"/>
          <w:sz w:val="24"/>
          <w:szCs w:val="24"/>
          <w:lang w:val="en-US" w:eastAsia="zh-CN"/>
        </w:rPr>
      </w:pPr>
      <w:r>
        <w:rPr>
          <w:rFonts w:hint="eastAsia" w:eastAsia="宋体" w:cs="Times New Roman"/>
          <w:sz w:val="24"/>
          <w:szCs w:val="24"/>
          <w:lang w:val="en-US" w:eastAsia="zh-CN"/>
        </w:rPr>
        <w:t>5、服务时间：</w:t>
      </w:r>
      <w:r>
        <w:rPr>
          <w:rFonts w:hint="eastAsia" w:ascii="Times New Roman" w:hAnsi="Times New Roman" w:cs="Times New Roman"/>
          <w:kern w:val="0"/>
          <w:sz w:val="24"/>
          <w:szCs w:val="24"/>
          <w:lang w:val="en-US" w:eastAsia="zh-CN"/>
        </w:rPr>
        <w:t>签订合同后3个月内。编制</w:t>
      </w:r>
      <w:r>
        <w:rPr>
          <w:rFonts w:hint="eastAsia" w:cs="Times New Roman"/>
          <w:sz w:val="24"/>
          <w:szCs w:val="24"/>
          <w:lang w:val="en-US" w:eastAsia="zh-CN"/>
        </w:rPr>
        <w:t>成果需按照上级部门要求上报的时间按期提交，并在合同有效期内提供相关咨询服务。</w:t>
      </w:r>
    </w:p>
    <w:p w14:paraId="1575541A">
      <w:pPr>
        <w:keepNext w:val="0"/>
        <w:keepLines w:val="0"/>
        <w:pageBreakBefore w:val="0"/>
        <w:wordWrap/>
        <w:overflowPunct/>
        <w:topLinePunct w:val="0"/>
        <w:bidi w:val="0"/>
        <w:adjustRightInd w:val="0"/>
        <w:snapToGrid w:val="0"/>
        <w:spacing w:line="620" w:lineRule="exact"/>
        <w:ind w:firstLine="480" w:firstLineChars="200"/>
        <w:rPr>
          <w:rFonts w:hint="eastAsia" w:eastAsia="宋体" w:cs="Times New Roman"/>
          <w:sz w:val="24"/>
          <w:szCs w:val="24"/>
          <w:lang w:val="en-US" w:eastAsia="zh-CN"/>
        </w:rPr>
      </w:pPr>
      <w:r>
        <w:rPr>
          <w:rFonts w:hint="eastAsia" w:eastAsia="宋体" w:cs="Times New Roman"/>
          <w:sz w:val="24"/>
          <w:szCs w:val="24"/>
          <w:lang w:val="en-US" w:eastAsia="zh-CN"/>
        </w:rPr>
        <w:t>6、服务地点：天津市西青区。</w:t>
      </w:r>
    </w:p>
    <w:p w14:paraId="2AF4A8F0">
      <w:pPr>
        <w:keepNext w:val="0"/>
        <w:keepLines w:val="0"/>
        <w:pageBreakBefore w:val="0"/>
        <w:wordWrap/>
        <w:overflowPunct/>
        <w:topLinePunct w:val="0"/>
        <w:bidi w:val="0"/>
        <w:adjustRightInd w:val="0"/>
        <w:snapToGrid w:val="0"/>
        <w:spacing w:line="620" w:lineRule="exact"/>
        <w:ind w:firstLine="480" w:firstLineChars="200"/>
        <w:rPr>
          <w:rFonts w:hint="eastAsia" w:eastAsia="宋体" w:cs="Times New Roman"/>
          <w:sz w:val="24"/>
          <w:szCs w:val="24"/>
          <w:lang w:eastAsia="zh-CN"/>
        </w:rPr>
      </w:pPr>
      <w:r>
        <w:rPr>
          <w:rFonts w:hint="eastAsia" w:eastAsia="宋体" w:cs="Times New Roman"/>
          <w:sz w:val="24"/>
          <w:szCs w:val="24"/>
          <w:lang w:val="en-US" w:eastAsia="zh-CN"/>
        </w:rPr>
        <w:t>7、其他要求：</w:t>
      </w:r>
      <w:r>
        <w:rPr>
          <w:rFonts w:hint="eastAsia" w:eastAsia="宋体" w:cs="Times New Roman"/>
          <w:sz w:val="24"/>
          <w:szCs w:val="24"/>
          <w:lang w:eastAsia="zh-CN"/>
        </w:rPr>
        <w:t>乙方所提供的服务必须具有合法手续及相关文件。</w:t>
      </w:r>
    </w:p>
    <w:p w14:paraId="1516DAAC">
      <w:pPr>
        <w:pStyle w:val="6"/>
        <w:keepNext w:val="0"/>
        <w:keepLines w:val="0"/>
        <w:pageBreakBefore w:val="0"/>
        <w:wordWrap/>
        <w:overflowPunct/>
        <w:topLinePunct w:val="0"/>
        <w:bidi w:val="0"/>
        <w:spacing w:line="620" w:lineRule="exact"/>
        <w:ind w:firstLine="240" w:firstLineChars="100"/>
        <w:rPr>
          <w:b/>
          <w:bCs/>
          <w:kern w:val="44"/>
          <w:sz w:val="24"/>
          <w:szCs w:val="24"/>
        </w:rPr>
      </w:pPr>
      <w:r>
        <w:rPr>
          <w:rFonts w:hint="eastAsia"/>
          <w:sz w:val="24"/>
          <w:szCs w:val="24"/>
        </w:rPr>
        <w:t xml:space="preserve">   </w:t>
      </w:r>
      <w:r>
        <w:rPr>
          <w:rFonts w:hint="eastAsia" w:ascii="宋体" w:hAnsi="宋体" w:eastAsia="宋体" w:cs="宋体"/>
          <w:b/>
          <w:bCs/>
          <w:sz w:val="24"/>
          <w:szCs w:val="24"/>
        </w:rPr>
        <w:t>第三条 咨询服务费</w:t>
      </w:r>
    </w:p>
    <w:p w14:paraId="55868E64">
      <w:pPr>
        <w:keepNext w:val="0"/>
        <w:keepLines w:val="0"/>
        <w:pageBreakBefore w:val="0"/>
        <w:wordWrap/>
        <w:overflowPunct/>
        <w:topLinePunct w:val="0"/>
        <w:bidi w:val="0"/>
        <w:adjustRightInd w:val="0"/>
        <w:snapToGrid w:val="0"/>
        <w:spacing w:line="620" w:lineRule="exact"/>
        <w:ind w:firstLine="480" w:firstLineChars="200"/>
        <w:rPr>
          <w:rFonts w:hint="eastAsia" w:eastAsia="宋体" w:cs="Times New Roman"/>
          <w:sz w:val="24"/>
          <w:szCs w:val="24"/>
          <w:lang w:val="en-US" w:eastAsia="zh-CN"/>
        </w:rPr>
      </w:pPr>
      <w:r>
        <w:rPr>
          <w:rFonts w:hint="eastAsia" w:eastAsia="宋体" w:cs="Times New Roman"/>
          <w:sz w:val="24"/>
          <w:szCs w:val="24"/>
          <w:lang w:val="en-US" w:eastAsia="zh-CN"/>
        </w:rPr>
        <w:t>1、本合同总价款</w:t>
      </w:r>
      <w:r>
        <w:rPr>
          <w:rFonts w:hint="eastAsia" w:eastAsia="宋体" w:cs="Times New Roman"/>
          <w:sz w:val="24"/>
          <w:szCs w:val="24"/>
          <w:highlight w:val="none"/>
          <w:lang w:val="en-US" w:eastAsia="zh-CN"/>
        </w:rPr>
        <w:t>：</w:t>
      </w:r>
      <w:r>
        <w:rPr>
          <w:rFonts w:hint="eastAsia" w:eastAsia="宋体" w:cs="Times New Roman"/>
          <w:sz w:val="24"/>
          <w:szCs w:val="24"/>
          <w:highlight w:val="none"/>
          <w:u w:val="single"/>
          <w:lang w:val="en-US" w:eastAsia="zh-CN"/>
        </w:rPr>
        <w:t>¥4</w:t>
      </w:r>
      <w:r>
        <w:rPr>
          <w:rFonts w:hint="eastAsia" w:cs="Times New Roman"/>
          <w:sz w:val="24"/>
          <w:szCs w:val="24"/>
          <w:highlight w:val="none"/>
          <w:u w:val="single"/>
          <w:lang w:val="en-US" w:eastAsia="zh-CN"/>
        </w:rPr>
        <w:t>30</w:t>
      </w:r>
      <w:r>
        <w:rPr>
          <w:rFonts w:hint="eastAsia" w:eastAsia="宋体" w:cs="Times New Roman"/>
          <w:sz w:val="24"/>
          <w:szCs w:val="24"/>
          <w:highlight w:val="none"/>
          <w:u w:val="single"/>
          <w:lang w:val="en-US" w:eastAsia="zh-CN"/>
        </w:rPr>
        <w:t xml:space="preserve">000.00 </w:t>
      </w:r>
      <w:r>
        <w:rPr>
          <w:rFonts w:hint="eastAsia" w:eastAsia="宋体" w:cs="Times New Roman"/>
          <w:sz w:val="24"/>
          <w:szCs w:val="24"/>
          <w:highlight w:val="none"/>
          <w:lang w:val="en-US" w:eastAsia="zh-CN"/>
        </w:rPr>
        <w:t>元，大写：人民币</w:t>
      </w:r>
      <w:r>
        <w:rPr>
          <w:rFonts w:hint="eastAsia" w:eastAsia="宋体" w:cs="Times New Roman"/>
          <w:sz w:val="24"/>
          <w:szCs w:val="24"/>
          <w:highlight w:val="none"/>
          <w:u w:val="single"/>
          <w:lang w:val="en-US" w:eastAsia="zh-CN"/>
        </w:rPr>
        <w:t xml:space="preserve"> 肆拾</w:t>
      </w:r>
      <w:r>
        <w:rPr>
          <w:rFonts w:hint="eastAsia" w:cs="Times New Roman"/>
          <w:sz w:val="24"/>
          <w:szCs w:val="24"/>
          <w:highlight w:val="none"/>
          <w:u w:val="single"/>
          <w:lang w:val="en-US" w:eastAsia="zh-CN"/>
        </w:rPr>
        <w:t>叁</w:t>
      </w:r>
      <w:r>
        <w:rPr>
          <w:rFonts w:hint="eastAsia" w:eastAsia="宋体" w:cs="Times New Roman"/>
          <w:sz w:val="24"/>
          <w:szCs w:val="24"/>
          <w:highlight w:val="none"/>
          <w:u w:val="single"/>
          <w:lang w:val="en-US" w:eastAsia="zh-CN"/>
        </w:rPr>
        <w:t>万元整</w:t>
      </w:r>
      <w:r>
        <w:rPr>
          <w:rFonts w:hint="eastAsia" w:eastAsia="宋体" w:cs="Times New Roman"/>
          <w:sz w:val="24"/>
          <w:szCs w:val="24"/>
          <w:highlight w:val="none"/>
          <w:lang w:val="en-US" w:eastAsia="zh-CN"/>
        </w:rPr>
        <w:t>。</w:t>
      </w:r>
      <w:r>
        <w:rPr>
          <w:rFonts w:hint="eastAsia" w:cs="Times New Roman"/>
          <w:sz w:val="24"/>
          <w:szCs w:val="24"/>
          <w:highlight w:val="none"/>
          <w:lang w:val="en-US" w:eastAsia="zh-CN"/>
        </w:rPr>
        <w:t>特别约定：</w:t>
      </w:r>
      <w:r>
        <w:rPr>
          <w:rFonts w:hint="eastAsia" w:ascii="Times New Roman" w:hAnsi="Times New Roman" w:eastAsia="宋体" w:cs="Times New Roman"/>
          <w:kern w:val="0"/>
          <w:sz w:val="24"/>
          <w:szCs w:val="24"/>
        </w:rPr>
        <w:t>如实施方案达到</w:t>
      </w:r>
      <w:r>
        <w:rPr>
          <w:rFonts w:hint="eastAsia" w:ascii="Times New Roman" w:hAnsi="Times New Roman" w:cs="Times New Roman"/>
          <w:kern w:val="0"/>
          <w:sz w:val="24"/>
          <w:szCs w:val="24"/>
          <w:lang w:eastAsia="zh-CN"/>
        </w:rPr>
        <w:t>财政部、农业农村部</w:t>
      </w:r>
      <w:r>
        <w:rPr>
          <w:rFonts w:hint="eastAsia" w:ascii="Times New Roman" w:hAnsi="Times New Roman" w:eastAsia="宋体" w:cs="Times New Roman"/>
          <w:kern w:val="0"/>
          <w:sz w:val="24"/>
          <w:szCs w:val="24"/>
        </w:rPr>
        <w:t>要求，</w:t>
      </w:r>
      <w:r>
        <w:rPr>
          <w:rFonts w:hint="eastAsia" w:ascii="Times New Roman" w:hAnsi="Times New Roman" w:cs="Times New Roman"/>
          <w:kern w:val="0"/>
          <w:sz w:val="24"/>
          <w:szCs w:val="24"/>
          <w:lang w:eastAsia="zh-CN"/>
        </w:rPr>
        <w:t>项目</w:t>
      </w:r>
      <w:r>
        <w:rPr>
          <w:rFonts w:hint="eastAsia" w:ascii="Times New Roman" w:hAnsi="Times New Roman" w:eastAsia="宋体" w:cs="Times New Roman"/>
          <w:kern w:val="0"/>
          <w:sz w:val="24"/>
          <w:szCs w:val="24"/>
        </w:rPr>
        <w:t>申报成功，则甲方支付</w:t>
      </w:r>
      <w:r>
        <w:rPr>
          <w:rFonts w:hint="eastAsia" w:ascii="Times New Roman" w:hAnsi="Times New Roman" w:cs="Times New Roman"/>
          <w:kern w:val="0"/>
          <w:sz w:val="24"/>
          <w:szCs w:val="24"/>
          <w:lang w:eastAsia="zh-CN"/>
        </w:rPr>
        <w:t>乙方</w:t>
      </w:r>
      <w:r>
        <w:rPr>
          <w:rFonts w:hint="eastAsia" w:ascii="Times New Roman" w:hAnsi="Times New Roman" w:eastAsia="宋体" w:cs="Times New Roman"/>
          <w:kern w:val="0"/>
          <w:sz w:val="24"/>
          <w:szCs w:val="24"/>
        </w:rPr>
        <w:t>编制</w:t>
      </w:r>
      <w:r>
        <w:rPr>
          <w:rFonts w:hint="eastAsia" w:ascii="Times New Roman" w:hAnsi="Times New Roman" w:eastAsia="宋体" w:cs="Times New Roman"/>
          <w:kern w:val="0"/>
          <w:sz w:val="24"/>
          <w:szCs w:val="24"/>
          <w:highlight w:val="none"/>
        </w:rPr>
        <w:t>费</w:t>
      </w:r>
      <w:r>
        <w:rPr>
          <w:rFonts w:hint="eastAsia" w:eastAsia="宋体" w:cs="Times New Roman"/>
          <w:sz w:val="24"/>
          <w:szCs w:val="24"/>
          <w:highlight w:val="none"/>
          <w:u w:val="single"/>
          <w:lang w:val="en-US" w:eastAsia="zh-CN"/>
        </w:rPr>
        <w:t>¥</w:t>
      </w:r>
      <w:r>
        <w:rPr>
          <w:rFonts w:hint="eastAsia" w:cs="Times New Roman"/>
          <w:sz w:val="24"/>
          <w:szCs w:val="24"/>
          <w:highlight w:val="none"/>
          <w:u w:val="single"/>
          <w:lang w:val="en-US" w:eastAsia="zh-CN"/>
        </w:rPr>
        <w:t>430</w:t>
      </w:r>
      <w:r>
        <w:rPr>
          <w:rFonts w:hint="eastAsia" w:eastAsia="宋体" w:cs="Times New Roman"/>
          <w:sz w:val="24"/>
          <w:szCs w:val="24"/>
          <w:highlight w:val="none"/>
          <w:u w:val="single"/>
          <w:lang w:val="en-US" w:eastAsia="zh-CN"/>
        </w:rPr>
        <w:t xml:space="preserve">000.00 </w:t>
      </w:r>
      <w:r>
        <w:rPr>
          <w:rFonts w:hint="eastAsia" w:eastAsia="宋体" w:cs="Times New Roman"/>
          <w:sz w:val="24"/>
          <w:szCs w:val="24"/>
          <w:highlight w:val="none"/>
          <w:lang w:val="en-US" w:eastAsia="zh-CN"/>
        </w:rPr>
        <w:t>元，大写：人民币</w:t>
      </w:r>
      <w:r>
        <w:rPr>
          <w:rFonts w:hint="eastAsia" w:eastAsia="宋体" w:cs="Times New Roman"/>
          <w:sz w:val="24"/>
          <w:szCs w:val="24"/>
          <w:highlight w:val="none"/>
          <w:u w:val="single"/>
          <w:lang w:val="en-US" w:eastAsia="zh-CN"/>
        </w:rPr>
        <w:t xml:space="preserve"> 肆拾</w:t>
      </w:r>
      <w:r>
        <w:rPr>
          <w:rFonts w:hint="eastAsia" w:cs="Times New Roman"/>
          <w:sz w:val="24"/>
          <w:szCs w:val="24"/>
          <w:highlight w:val="none"/>
          <w:u w:val="single"/>
          <w:lang w:val="en-US" w:eastAsia="zh-CN"/>
        </w:rPr>
        <w:t>叁</w:t>
      </w:r>
      <w:r>
        <w:rPr>
          <w:rFonts w:hint="eastAsia" w:eastAsia="宋体" w:cs="Times New Roman"/>
          <w:sz w:val="24"/>
          <w:szCs w:val="24"/>
          <w:highlight w:val="none"/>
          <w:u w:val="single"/>
          <w:lang w:val="en-US" w:eastAsia="zh-CN"/>
        </w:rPr>
        <w:t>万元整</w:t>
      </w:r>
      <w:r>
        <w:rPr>
          <w:rFonts w:hint="eastAsia" w:ascii="Times New Roman" w:hAnsi="Times New Roman" w:cs="Times New Roman"/>
          <w:kern w:val="0"/>
          <w:sz w:val="24"/>
          <w:szCs w:val="24"/>
          <w:lang w:eastAsia="zh-CN"/>
        </w:rPr>
        <w:t>；</w:t>
      </w:r>
      <w:r>
        <w:rPr>
          <w:rFonts w:hint="eastAsia" w:ascii="Times New Roman" w:hAnsi="Times New Roman" w:eastAsia="宋体" w:cs="Times New Roman"/>
          <w:kern w:val="0"/>
          <w:sz w:val="24"/>
          <w:szCs w:val="24"/>
        </w:rPr>
        <w:t>如</w:t>
      </w:r>
      <w:r>
        <w:rPr>
          <w:rFonts w:hint="eastAsia" w:ascii="Times New Roman" w:hAnsi="Times New Roman" w:cs="Times New Roman"/>
          <w:kern w:val="0"/>
          <w:sz w:val="24"/>
          <w:szCs w:val="24"/>
          <w:lang w:eastAsia="zh-CN"/>
        </w:rPr>
        <w:t>乙方</w:t>
      </w:r>
      <w:r>
        <w:rPr>
          <w:rFonts w:hint="eastAsia" w:ascii="Times New Roman" w:hAnsi="Times New Roman" w:eastAsia="宋体" w:cs="Times New Roman"/>
          <w:kern w:val="0"/>
          <w:sz w:val="24"/>
          <w:szCs w:val="24"/>
        </w:rPr>
        <w:t>已按要求完成实施方案的编制，</w:t>
      </w:r>
      <w:r>
        <w:rPr>
          <w:rFonts w:hint="eastAsia" w:ascii="Times New Roman" w:hAnsi="Times New Roman" w:cs="Times New Roman"/>
          <w:kern w:val="0"/>
          <w:sz w:val="24"/>
          <w:szCs w:val="24"/>
          <w:lang w:eastAsia="zh-CN"/>
        </w:rPr>
        <w:t>上报市级评审，</w:t>
      </w:r>
      <w:r>
        <w:rPr>
          <w:rFonts w:hint="eastAsia" w:ascii="Times New Roman" w:hAnsi="Times New Roman" w:eastAsia="宋体" w:cs="Times New Roman"/>
          <w:kern w:val="0"/>
          <w:sz w:val="24"/>
          <w:szCs w:val="24"/>
        </w:rPr>
        <w:t>但未</w:t>
      </w:r>
      <w:r>
        <w:rPr>
          <w:rFonts w:hint="eastAsia" w:ascii="Times New Roman" w:hAnsi="Times New Roman" w:cs="Times New Roman"/>
          <w:kern w:val="0"/>
          <w:sz w:val="24"/>
          <w:szCs w:val="24"/>
          <w:lang w:eastAsia="zh-CN"/>
        </w:rPr>
        <w:t>通过财政部、农业农村部评审</w:t>
      </w:r>
      <w:r>
        <w:rPr>
          <w:rFonts w:hint="eastAsia" w:ascii="Times New Roman" w:hAnsi="Times New Roman" w:eastAsia="宋体" w:cs="Times New Roman"/>
          <w:kern w:val="0"/>
          <w:sz w:val="24"/>
          <w:szCs w:val="24"/>
        </w:rPr>
        <w:t>，</w:t>
      </w:r>
      <w:r>
        <w:rPr>
          <w:rFonts w:hint="eastAsia" w:ascii="Times New Roman" w:hAnsi="Times New Roman" w:cs="Times New Roman"/>
          <w:kern w:val="0"/>
          <w:sz w:val="24"/>
          <w:szCs w:val="24"/>
          <w:lang w:eastAsia="zh-CN"/>
        </w:rPr>
        <w:t>项目</w:t>
      </w:r>
      <w:r>
        <w:rPr>
          <w:rFonts w:hint="eastAsia" w:ascii="Times New Roman" w:hAnsi="Times New Roman" w:eastAsia="宋体" w:cs="Times New Roman"/>
          <w:kern w:val="0"/>
          <w:sz w:val="24"/>
          <w:szCs w:val="24"/>
        </w:rPr>
        <w:t>申报不成功，则甲方</w:t>
      </w:r>
      <w:r>
        <w:rPr>
          <w:rFonts w:hint="eastAsia" w:ascii="Times New Roman" w:hAnsi="Times New Roman" w:cs="Times New Roman"/>
          <w:kern w:val="0"/>
          <w:sz w:val="24"/>
          <w:szCs w:val="24"/>
          <w:lang w:eastAsia="zh-CN"/>
        </w:rPr>
        <w:t>仅需</w:t>
      </w:r>
      <w:r>
        <w:rPr>
          <w:rFonts w:hint="eastAsia" w:ascii="Times New Roman" w:hAnsi="Times New Roman" w:eastAsia="宋体" w:cs="Times New Roman"/>
          <w:kern w:val="0"/>
          <w:sz w:val="24"/>
          <w:szCs w:val="24"/>
        </w:rPr>
        <w:t>支付</w:t>
      </w:r>
      <w:r>
        <w:rPr>
          <w:rFonts w:hint="eastAsia" w:ascii="Times New Roman" w:hAnsi="Times New Roman" w:cs="Times New Roman"/>
          <w:kern w:val="0"/>
          <w:sz w:val="24"/>
          <w:szCs w:val="24"/>
          <w:lang w:eastAsia="zh-CN"/>
        </w:rPr>
        <w:t>乙方</w:t>
      </w:r>
      <w:r>
        <w:rPr>
          <w:rFonts w:hint="eastAsia" w:ascii="Times New Roman" w:hAnsi="Times New Roman" w:eastAsia="宋体" w:cs="Times New Roman"/>
          <w:kern w:val="0"/>
          <w:sz w:val="24"/>
          <w:szCs w:val="24"/>
        </w:rPr>
        <w:t>编制成本</w:t>
      </w:r>
      <w:r>
        <w:rPr>
          <w:rFonts w:hint="eastAsia" w:eastAsia="宋体" w:cs="Times New Roman"/>
          <w:sz w:val="24"/>
          <w:szCs w:val="24"/>
          <w:highlight w:val="none"/>
          <w:u w:val="single"/>
          <w:lang w:val="en-US" w:eastAsia="zh-CN"/>
        </w:rPr>
        <w:t>¥</w:t>
      </w:r>
      <w:r>
        <w:rPr>
          <w:rFonts w:hint="eastAsia" w:cs="Times New Roman"/>
          <w:sz w:val="24"/>
          <w:szCs w:val="24"/>
          <w:highlight w:val="none"/>
          <w:u w:val="single"/>
          <w:lang w:val="en-US" w:eastAsia="zh-CN"/>
        </w:rPr>
        <w:t>50000</w:t>
      </w:r>
      <w:r>
        <w:rPr>
          <w:rFonts w:hint="eastAsia" w:eastAsia="宋体" w:cs="Times New Roman"/>
          <w:sz w:val="24"/>
          <w:szCs w:val="24"/>
          <w:highlight w:val="none"/>
          <w:u w:val="single"/>
          <w:lang w:val="en-US" w:eastAsia="zh-CN"/>
        </w:rPr>
        <w:t xml:space="preserve">.00 </w:t>
      </w:r>
      <w:r>
        <w:rPr>
          <w:rFonts w:hint="eastAsia" w:eastAsia="宋体" w:cs="Times New Roman"/>
          <w:sz w:val="24"/>
          <w:szCs w:val="24"/>
          <w:highlight w:val="none"/>
          <w:lang w:val="en-US" w:eastAsia="zh-CN"/>
        </w:rPr>
        <w:t>元，大写：人民币</w:t>
      </w:r>
      <w:r>
        <w:rPr>
          <w:rFonts w:hint="eastAsia" w:eastAsia="宋体" w:cs="Times New Roman"/>
          <w:sz w:val="24"/>
          <w:szCs w:val="24"/>
          <w:highlight w:val="none"/>
          <w:u w:val="single"/>
          <w:lang w:val="en-US" w:eastAsia="zh-CN"/>
        </w:rPr>
        <w:t xml:space="preserve"> </w:t>
      </w:r>
      <w:r>
        <w:rPr>
          <w:rFonts w:hint="eastAsia" w:cs="Times New Roman"/>
          <w:sz w:val="24"/>
          <w:szCs w:val="24"/>
          <w:highlight w:val="none"/>
          <w:u w:val="single"/>
          <w:lang w:val="en-US" w:eastAsia="zh-CN"/>
        </w:rPr>
        <w:t>伍</w:t>
      </w:r>
      <w:r>
        <w:rPr>
          <w:rFonts w:hint="eastAsia" w:eastAsia="宋体" w:cs="Times New Roman"/>
          <w:sz w:val="24"/>
          <w:szCs w:val="24"/>
          <w:highlight w:val="none"/>
          <w:u w:val="single"/>
          <w:lang w:val="en-US" w:eastAsia="zh-CN"/>
        </w:rPr>
        <w:t>万元整</w:t>
      </w:r>
      <w:r>
        <w:rPr>
          <w:rFonts w:hint="eastAsia" w:ascii="Times New Roman" w:hAnsi="Times New Roman" w:cs="Times New Roman"/>
          <w:kern w:val="0"/>
          <w:sz w:val="24"/>
          <w:szCs w:val="24"/>
          <w:lang w:eastAsia="zh-CN"/>
        </w:rPr>
        <w:t>。</w:t>
      </w:r>
    </w:p>
    <w:p w14:paraId="6C486659">
      <w:pPr>
        <w:keepNext w:val="0"/>
        <w:keepLines w:val="0"/>
        <w:pageBreakBefore w:val="0"/>
        <w:wordWrap/>
        <w:overflowPunct/>
        <w:topLinePunct w:val="0"/>
        <w:bidi w:val="0"/>
        <w:adjustRightInd w:val="0"/>
        <w:snapToGrid w:val="0"/>
        <w:spacing w:line="620" w:lineRule="exact"/>
        <w:ind w:firstLine="480" w:firstLineChars="200"/>
        <w:rPr>
          <w:rFonts w:hint="default" w:eastAsia="宋体" w:cs="Times New Roman"/>
          <w:sz w:val="24"/>
          <w:szCs w:val="24"/>
          <w:lang w:val="en-US" w:eastAsia="zh-CN"/>
        </w:rPr>
      </w:pPr>
      <w:r>
        <w:rPr>
          <w:rFonts w:hint="eastAsia" w:eastAsia="宋体" w:cs="Times New Roman"/>
          <w:sz w:val="24"/>
          <w:szCs w:val="24"/>
          <w:lang w:val="en-US" w:eastAsia="zh-CN"/>
        </w:rPr>
        <w:t>2、付款方式：</w:t>
      </w:r>
      <w:r>
        <w:rPr>
          <w:rFonts w:hint="eastAsia" w:cs="Times New Roman"/>
          <w:sz w:val="24"/>
          <w:szCs w:val="24"/>
          <w:lang w:val="en-US" w:eastAsia="zh-CN"/>
        </w:rPr>
        <w:t>乙方</w:t>
      </w:r>
      <w:r>
        <w:rPr>
          <w:rFonts w:hint="eastAsia" w:eastAsia="宋体" w:cs="Times New Roman"/>
          <w:sz w:val="24"/>
          <w:szCs w:val="24"/>
          <w:lang w:val="en-US" w:eastAsia="zh-CN"/>
        </w:rPr>
        <w:t>编制形成</w:t>
      </w:r>
      <w:r>
        <w:rPr>
          <w:rFonts w:hint="eastAsia"/>
          <w:sz w:val="24"/>
          <w:szCs w:val="24"/>
          <w:lang w:val="en-US" w:eastAsia="zh-CN"/>
        </w:rPr>
        <w:t>实施方案</w:t>
      </w:r>
      <w:r>
        <w:rPr>
          <w:rFonts w:hint="eastAsia" w:eastAsia="宋体" w:cs="Times New Roman"/>
          <w:sz w:val="24"/>
          <w:szCs w:val="24"/>
          <w:lang w:val="en-US" w:eastAsia="zh-CN"/>
        </w:rPr>
        <w:t>报告</w:t>
      </w:r>
      <w:r>
        <w:rPr>
          <w:rFonts w:hint="eastAsia" w:cs="Times New Roman"/>
          <w:sz w:val="24"/>
          <w:szCs w:val="24"/>
          <w:lang w:val="en-US" w:eastAsia="zh-CN"/>
        </w:rPr>
        <w:t>并</w:t>
      </w:r>
      <w:r>
        <w:rPr>
          <w:rFonts w:hint="eastAsia" w:eastAsia="宋体" w:cs="Times New Roman"/>
          <w:sz w:val="24"/>
          <w:szCs w:val="24"/>
          <w:lang w:val="en-US" w:eastAsia="zh-CN"/>
        </w:rPr>
        <w:t>通过</w:t>
      </w:r>
      <w:r>
        <w:rPr>
          <w:rFonts w:hint="eastAsia" w:cs="Times New Roman"/>
          <w:sz w:val="24"/>
          <w:szCs w:val="24"/>
          <w:lang w:val="en-US" w:eastAsia="zh-CN"/>
        </w:rPr>
        <w:t>甲方</w:t>
      </w:r>
      <w:r>
        <w:rPr>
          <w:rFonts w:hint="eastAsia" w:eastAsia="宋体" w:cs="Times New Roman"/>
          <w:sz w:val="24"/>
          <w:szCs w:val="24"/>
          <w:lang w:val="en-US" w:eastAsia="zh-CN"/>
        </w:rPr>
        <w:t>审核</w:t>
      </w:r>
      <w:r>
        <w:rPr>
          <w:rFonts w:hint="eastAsia" w:cs="Times New Roman"/>
          <w:sz w:val="24"/>
          <w:szCs w:val="24"/>
          <w:lang w:val="en-US" w:eastAsia="zh-CN"/>
        </w:rPr>
        <w:t>，甲方根据上级评审结果</w:t>
      </w:r>
      <w:r>
        <w:rPr>
          <w:rFonts w:hint="eastAsia" w:eastAsia="宋体" w:cs="Times New Roman"/>
          <w:sz w:val="24"/>
          <w:szCs w:val="24"/>
          <w:lang w:val="en-US" w:eastAsia="zh-CN"/>
        </w:rPr>
        <w:t>支付服务费。乙方</w:t>
      </w:r>
      <w:r>
        <w:rPr>
          <w:rFonts w:hint="eastAsia" w:cs="Times New Roman"/>
          <w:sz w:val="24"/>
          <w:szCs w:val="24"/>
          <w:lang w:val="en-US" w:eastAsia="zh-CN"/>
        </w:rPr>
        <w:t>需</w:t>
      </w:r>
      <w:r>
        <w:rPr>
          <w:rFonts w:hint="eastAsia" w:eastAsia="宋体" w:cs="Times New Roman"/>
          <w:sz w:val="24"/>
          <w:szCs w:val="24"/>
          <w:lang w:val="en-US" w:eastAsia="zh-CN"/>
        </w:rPr>
        <w:t>开具正式发票。因政府财政原因导致逾期付款不属于甲方违约。</w:t>
      </w:r>
    </w:p>
    <w:p w14:paraId="3A41069A">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sz w:val="24"/>
          <w:szCs w:val="24"/>
        </w:rPr>
        <w:t>3、乙方提供付款信息：</w:t>
      </w:r>
    </w:p>
    <w:p w14:paraId="689D5989">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sz w:val="24"/>
          <w:szCs w:val="24"/>
        </w:rPr>
        <w:t>账户名：农业农村部环境保护科研监测所</w:t>
      </w:r>
    </w:p>
    <w:p w14:paraId="7CBB2E83">
      <w:pPr>
        <w:keepNext w:val="0"/>
        <w:keepLines w:val="0"/>
        <w:pageBreakBefore w:val="0"/>
        <w:wordWrap/>
        <w:overflowPunct/>
        <w:topLinePunct w:val="0"/>
        <w:bidi w:val="0"/>
        <w:adjustRightInd w:val="0"/>
        <w:snapToGrid w:val="0"/>
        <w:spacing w:line="620" w:lineRule="exact"/>
        <w:ind w:firstLine="477" w:firstLineChars="199"/>
        <w:rPr>
          <w:rFonts w:hint="eastAsia" w:ascii="Times New Roman" w:hAnsi="Times New Roman" w:cs="Times New Roman"/>
          <w:kern w:val="0"/>
          <w:sz w:val="24"/>
          <w:szCs w:val="24"/>
          <w:lang w:val="en-US" w:eastAsia="zh-CN"/>
        </w:rPr>
      </w:pPr>
      <w:r>
        <w:rPr>
          <w:rFonts w:hint="eastAsia"/>
          <w:sz w:val="24"/>
          <w:szCs w:val="24"/>
        </w:rPr>
        <w:t>账号：</w:t>
      </w:r>
      <w:r>
        <w:rPr>
          <w:rFonts w:hint="eastAsia" w:ascii="Times New Roman" w:hAnsi="Times New Roman" w:cs="Times New Roman"/>
          <w:kern w:val="0"/>
          <w:sz w:val="24"/>
          <w:szCs w:val="24"/>
          <w:lang w:val="en-US" w:eastAsia="zh-CN"/>
        </w:rPr>
        <w:t>0219</w:t>
      </w:r>
      <w:r>
        <w:rPr>
          <w:rFonts w:hint="eastAsia" w:ascii="仿宋_GB2312" w:hAnsi="仿宋_GB2312" w:eastAsia="仿宋_GB2312" w:cs="仿宋_GB2312"/>
          <w:color w:val="auto"/>
          <w:sz w:val="34"/>
          <w:szCs w:val="34"/>
          <w:highlight w:val="none"/>
          <w:u w:val="none"/>
          <w:lang w:val="en-US" w:eastAsia="zh-CN"/>
        </w:rPr>
        <w:t>****</w:t>
      </w:r>
      <w:r>
        <w:rPr>
          <w:rFonts w:hint="eastAsia" w:ascii="Times New Roman" w:hAnsi="Times New Roman" w:cs="Times New Roman"/>
          <w:kern w:val="0"/>
          <w:sz w:val="24"/>
          <w:szCs w:val="24"/>
          <w:lang w:val="en-US" w:eastAsia="zh-CN"/>
        </w:rPr>
        <w:t>1154</w:t>
      </w:r>
    </w:p>
    <w:p w14:paraId="37B118BA">
      <w:pPr>
        <w:keepNext w:val="0"/>
        <w:keepLines w:val="0"/>
        <w:pageBreakBefore w:val="0"/>
        <w:wordWrap/>
        <w:overflowPunct/>
        <w:topLinePunct w:val="0"/>
        <w:bidi w:val="0"/>
        <w:adjustRightInd w:val="0"/>
        <w:snapToGrid w:val="0"/>
        <w:spacing w:line="620" w:lineRule="exact"/>
        <w:ind w:firstLine="477" w:firstLineChars="199"/>
        <w:rPr>
          <w:rFonts w:hint="eastAsia"/>
          <w:sz w:val="24"/>
          <w:szCs w:val="24"/>
        </w:rPr>
      </w:pPr>
      <w:r>
        <w:rPr>
          <w:rFonts w:hint="eastAsia"/>
          <w:sz w:val="24"/>
          <w:szCs w:val="24"/>
        </w:rPr>
        <w:t>开户行：</w:t>
      </w:r>
      <w:r>
        <w:rPr>
          <w:rFonts w:hint="eastAsia"/>
          <w:sz w:val="24"/>
          <w:szCs w:val="24"/>
          <w:lang w:eastAsia="zh-CN"/>
        </w:rPr>
        <w:t>中国农业银行股份有限公司天津宾水西道支行</w:t>
      </w:r>
    </w:p>
    <w:p w14:paraId="3BB2063B">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sz w:val="24"/>
          <w:szCs w:val="24"/>
        </w:rPr>
        <w:t>4、甲方提供开票信息：</w:t>
      </w:r>
    </w:p>
    <w:p w14:paraId="574AC48E">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sz w:val="24"/>
          <w:szCs w:val="24"/>
        </w:rPr>
        <w:t>纳税人识别号：</w:t>
      </w:r>
      <w:r>
        <w:rPr>
          <w:rFonts w:hint="eastAsia" w:ascii="Times New Roman" w:hAnsi="Times New Roman" w:cs="Times New Roman"/>
          <w:kern w:val="0"/>
          <w:sz w:val="24"/>
          <w:szCs w:val="24"/>
          <w:lang w:val="en-US" w:eastAsia="zh-CN"/>
        </w:rPr>
        <w:t>1112</w:t>
      </w:r>
      <w:r>
        <w:rPr>
          <w:rFonts w:hint="eastAsia" w:ascii="仿宋_GB2312" w:hAnsi="仿宋_GB2312" w:eastAsia="仿宋_GB2312" w:cs="仿宋_GB2312"/>
          <w:color w:val="auto"/>
          <w:sz w:val="34"/>
          <w:szCs w:val="34"/>
          <w:highlight w:val="none"/>
          <w:u w:val="none"/>
          <w:lang w:val="en-US" w:eastAsia="zh-CN"/>
        </w:rPr>
        <w:t>****</w:t>
      </w:r>
      <w:r>
        <w:rPr>
          <w:rFonts w:hint="eastAsia" w:ascii="Times New Roman" w:hAnsi="Times New Roman" w:cs="Times New Roman"/>
          <w:kern w:val="0"/>
          <w:sz w:val="24"/>
          <w:szCs w:val="24"/>
          <w:lang w:val="en-US" w:eastAsia="zh-CN"/>
        </w:rPr>
        <w:t xml:space="preserve">434H   </w:t>
      </w:r>
      <w:r>
        <w:rPr>
          <w:rFonts w:hint="eastAsia"/>
          <w:sz w:val="24"/>
          <w:szCs w:val="24"/>
        </w:rPr>
        <w:t xml:space="preserve">                                     </w:t>
      </w:r>
    </w:p>
    <w:p w14:paraId="601194B3">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ascii="Times New Roman" w:hAnsi="Times New Roman" w:cs="Times New Roman"/>
          <w:kern w:val="0"/>
          <w:sz w:val="24"/>
          <w:szCs w:val="24"/>
          <w:lang w:val="en-US" w:eastAsia="zh-CN"/>
        </w:rPr>
        <w:t xml:space="preserve">单位地址：天津市西青区杨柳青镇柳口路10号    </w:t>
      </w:r>
      <w:r>
        <w:rPr>
          <w:rFonts w:hint="eastAsia"/>
          <w:sz w:val="24"/>
          <w:szCs w:val="24"/>
        </w:rPr>
        <w:t xml:space="preserve">                                        </w:t>
      </w:r>
    </w:p>
    <w:p w14:paraId="18D11CA7">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ascii="Times New Roman" w:hAnsi="Times New Roman" w:cs="Times New Roman"/>
          <w:kern w:val="0"/>
          <w:sz w:val="24"/>
          <w:szCs w:val="24"/>
          <w:lang w:val="en-US" w:eastAsia="zh-CN"/>
        </w:rPr>
        <w:t xml:space="preserve">单位电话： 27399058     </w:t>
      </w:r>
      <w:r>
        <w:rPr>
          <w:rFonts w:hint="eastAsia"/>
          <w:sz w:val="24"/>
          <w:szCs w:val="24"/>
        </w:rPr>
        <w:t xml:space="preserve">                                      </w:t>
      </w:r>
    </w:p>
    <w:p w14:paraId="62F1C0E4">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sz w:val="24"/>
          <w:szCs w:val="24"/>
        </w:rPr>
        <w:t>开户行名称：</w:t>
      </w:r>
      <w:r>
        <w:rPr>
          <w:rFonts w:hint="eastAsia"/>
          <w:sz w:val="24"/>
          <w:szCs w:val="24"/>
          <w:lang w:eastAsia="zh-CN"/>
        </w:rPr>
        <w:t>天津市西青区农业农村委员会</w:t>
      </w:r>
      <w:r>
        <w:rPr>
          <w:rFonts w:hint="eastAsia"/>
          <w:sz w:val="24"/>
          <w:szCs w:val="24"/>
        </w:rPr>
        <w:t xml:space="preserve">                                          </w:t>
      </w:r>
    </w:p>
    <w:p w14:paraId="545589B6">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ascii="Times New Roman" w:hAnsi="Times New Roman" w:cs="Times New Roman"/>
          <w:kern w:val="0"/>
          <w:sz w:val="24"/>
          <w:szCs w:val="24"/>
          <w:lang w:val="en-US" w:eastAsia="zh-CN"/>
        </w:rPr>
        <w:t>开户行账号：0202</w:t>
      </w:r>
      <w:r>
        <w:rPr>
          <w:rFonts w:hint="eastAsia" w:ascii="仿宋_GB2312" w:hAnsi="仿宋_GB2312" w:eastAsia="仿宋_GB2312" w:cs="仿宋_GB2312"/>
          <w:color w:val="auto"/>
          <w:sz w:val="34"/>
          <w:szCs w:val="34"/>
          <w:highlight w:val="none"/>
          <w:u w:val="none"/>
          <w:lang w:val="en-US" w:eastAsia="zh-CN"/>
        </w:rPr>
        <w:t>****</w:t>
      </w:r>
      <w:bookmarkStart w:id="0" w:name="_GoBack"/>
      <w:bookmarkEnd w:id="0"/>
      <w:r>
        <w:rPr>
          <w:rFonts w:hint="eastAsia" w:ascii="Times New Roman" w:hAnsi="Times New Roman" w:cs="Times New Roman"/>
          <w:kern w:val="0"/>
          <w:sz w:val="24"/>
          <w:szCs w:val="24"/>
          <w:lang w:val="en-US" w:eastAsia="zh-CN"/>
        </w:rPr>
        <w:t xml:space="preserve">4752    </w:t>
      </w:r>
      <w:r>
        <w:rPr>
          <w:rFonts w:hint="eastAsia"/>
          <w:sz w:val="24"/>
          <w:szCs w:val="24"/>
        </w:rPr>
        <w:t xml:space="preserve">                                      </w:t>
      </w:r>
    </w:p>
    <w:p w14:paraId="3B85B64E">
      <w:pPr>
        <w:pStyle w:val="6"/>
        <w:keepNext w:val="0"/>
        <w:keepLines w:val="0"/>
        <w:pageBreakBefore w:val="0"/>
        <w:numPr>
          <w:ilvl w:val="0"/>
          <w:numId w:val="2"/>
        </w:numPr>
        <w:wordWrap/>
        <w:overflowPunct/>
        <w:topLinePunct w:val="0"/>
        <w:bidi w:val="0"/>
        <w:spacing w:line="620" w:lineRule="exact"/>
        <w:ind w:left="480" w:leftChars="0" w:firstLine="0" w:firstLineChars="0"/>
        <w:rPr>
          <w:rFonts w:hint="eastAsia" w:ascii="宋体" w:hAnsi="宋体" w:eastAsia="宋体" w:cs="宋体"/>
          <w:b/>
          <w:bCs/>
          <w:sz w:val="24"/>
          <w:szCs w:val="24"/>
        </w:rPr>
      </w:pPr>
      <w:r>
        <w:rPr>
          <w:rFonts w:hint="eastAsia" w:ascii="宋体" w:hAnsi="宋体" w:eastAsia="宋体" w:cs="宋体"/>
          <w:b/>
          <w:bCs/>
          <w:sz w:val="24"/>
          <w:szCs w:val="24"/>
        </w:rPr>
        <w:t>验收要求</w:t>
      </w:r>
    </w:p>
    <w:p w14:paraId="623AF9DA">
      <w:pPr>
        <w:spacing w:line="520" w:lineRule="exact"/>
        <w:ind w:firstLine="484" w:firstLineChars="202"/>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(1)乙方完成技术服务工作的形式：提交项目实施方案</w:t>
      </w:r>
      <w:r>
        <w:rPr>
          <w:rFonts w:hint="eastAsia" w:asciiTheme="majorEastAsia" w:hAnsiTheme="majorEastAsia" w:eastAsiaTheme="majorEastAsia" w:cstheme="majorEastAsia"/>
          <w:sz w:val="24"/>
          <w:szCs w:val="24"/>
          <w:lang w:val="en-US" w:eastAsia="zh-CN"/>
        </w:rPr>
        <w:t>20</w:t>
      </w:r>
      <w:r>
        <w:rPr>
          <w:rFonts w:hint="eastAsia" w:asciiTheme="majorEastAsia" w:hAnsiTheme="majorEastAsia" w:eastAsiaTheme="majorEastAsia" w:cstheme="majorEastAsia"/>
          <w:sz w:val="24"/>
          <w:szCs w:val="24"/>
        </w:rPr>
        <w:t>份</w:t>
      </w:r>
      <w:r>
        <w:rPr>
          <w:rFonts w:hint="eastAsia" w:asciiTheme="majorEastAsia" w:hAnsiTheme="majorEastAsia" w:eastAsiaTheme="majorEastAsia" w:cstheme="majorEastAsia"/>
          <w:sz w:val="24"/>
          <w:szCs w:val="24"/>
          <w:lang w:val="en-US" w:eastAsia="zh-CN"/>
        </w:rPr>
        <w:t>以及相应电子版方案</w:t>
      </w:r>
      <w:r>
        <w:rPr>
          <w:rFonts w:hint="eastAsia" w:asciiTheme="majorEastAsia" w:hAnsiTheme="majorEastAsia" w:eastAsiaTheme="majorEastAsia" w:cstheme="majorEastAsia"/>
          <w:sz w:val="24"/>
          <w:szCs w:val="24"/>
        </w:rPr>
        <w:t>。</w:t>
      </w:r>
    </w:p>
    <w:p w14:paraId="0A0ECF70">
      <w:pPr>
        <w:pStyle w:val="6"/>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480" w:firstLineChars="200"/>
        <w:textAlignment w:val="auto"/>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sz w:val="24"/>
          <w:szCs w:val="24"/>
        </w:rPr>
        <w:t>(2)技术服务工作成果的验收标准：项目实施方案</w:t>
      </w:r>
      <w:r>
        <w:rPr>
          <w:rFonts w:hint="eastAsia" w:asciiTheme="majorEastAsia" w:hAnsiTheme="majorEastAsia" w:eastAsiaTheme="majorEastAsia" w:cstheme="majorEastAsia"/>
          <w:sz w:val="24"/>
          <w:szCs w:val="24"/>
          <w:lang w:eastAsia="zh-CN"/>
        </w:rPr>
        <w:t>通过市级评审，并上报农业农村部、财政部</w:t>
      </w:r>
      <w:r>
        <w:rPr>
          <w:rFonts w:hint="eastAsia" w:asciiTheme="majorEastAsia" w:hAnsiTheme="majorEastAsia" w:eastAsiaTheme="majorEastAsia" w:cstheme="majorEastAsia"/>
          <w:sz w:val="24"/>
          <w:szCs w:val="24"/>
        </w:rPr>
        <w:t>。</w:t>
      </w:r>
    </w:p>
    <w:p w14:paraId="02F4F97E">
      <w:pPr>
        <w:pStyle w:val="6"/>
        <w:keepNext w:val="0"/>
        <w:keepLines w:val="0"/>
        <w:pageBreakBefore w:val="0"/>
        <w:wordWrap/>
        <w:overflowPunct/>
        <w:topLinePunct w:val="0"/>
        <w:bidi w:val="0"/>
        <w:spacing w:line="620" w:lineRule="exact"/>
        <w:ind w:firstLine="482" w:firstLineChars="200"/>
        <w:rPr>
          <w:b/>
          <w:bCs/>
          <w:kern w:val="44"/>
          <w:sz w:val="24"/>
          <w:szCs w:val="24"/>
        </w:rPr>
      </w:pPr>
      <w:r>
        <w:rPr>
          <w:rFonts w:hint="eastAsia" w:ascii="宋体" w:hAnsi="宋体" w:eastAsia="宋体" w:cs="宋体"/>
          <w:b/>
          <w:bCs/>
          <w:sz w:val="24"/>
          <w:szCs w:val="24"/>
          <w:lang w:eastAsia="zh-CN"/>
        </w:rPr>
        <w:t>第五条</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甲方权利和义务</w:t>
      </w:r>
    </w:p>
    <w:p w14:paraId="1A17B15A">
      <w:pPr>
        <w:keepNext w:val="0"/>
        <w:keepLines w:val="0"/>
        <w:pageBreakBefore w:val="0"/>
        <w:wordWrap/>
        <w:overflowPunct/>
        <w:topLinePunct w:val="0"/>
        <w:bidi w:val="0"/>
        <w:adjustRightInd w:val="0"/>
        <w:snapToGrid w:val="0"/>
        <w:spacing w:line="620" w:lineRule="exact"/>
        <w:ind w:firstLine="480" w:firstLineChars="200"/>
        <w:rPr>
          <w:sz w:val="24"/>
          <w:szCs w:val="24"/>
        </w:rPr>
      </w:pPr>
      <w:r>
        <w:rPr>
          <w:rFonts w:hint="eastAsia"/>
          <w:sz w:val="24"/>
          <w:szCs w:val="24"/>
        </w:rPr>
        <w:t>1、甲方应按本合同约定或乙方要求及时向乙方提供相关资料，并保证所提供资料内容的真实、完整、准确性。因甲方违反该义务导致乙方提交的咨询成果不符合本合同约定的或导致乙方延迟提交咨询成果的，乙方不承担任何法律责任。</w:t>
      </w:r>
    </w:p>
    <w:p w14:paraId="12DB2B12">
      <w:pPr>
        <w:keepNext w:val="0"/>
        <w:keepLines w:val="0"/>
        <w:pageBreakBefore w:val="0"/>
        <w:wordWrap/>
        <w:overflowPunct/>
        <w:topLinePunct w:val="0"/>
        <w:bidi w:val="0"/>
        <w:adjustRightInd w:val="0"/>
        <w:snapToGrid w:val="0"/>
        <w:spacing w:line="620" w:lineRule="exact"/>
        <w:ind w:firstLine="480" w:firstLineChars="200"/>
        <w:rPr>
          <w:sz w:val="24"/>
          <w:szCs w:val="24"/>
        </w:rPr>
      </w:pPr>
      <w:r>
        <w:rPr>
          <w:rFonts w:hint="eastAsia"/>
          <w:sz w:val="24"/>
          <w:szCs w:val="24"/>
        </w:rPr>
        <w:t>2、甲方应负责与本项目咨询业务有关的第三方的协调，第三方提供有关资料时，甲方应负责资料转达。第三方对其提供资料的真实性、完整性、准确性负责。因第三方违反该义务导致乙方提交的咨询成果不符合本合同约定的，乙方不承担任何法律责任。</w:t>
      </w:r>
    </w:p>
    <w:p w14:paraId="529AE137">
      <w:pPr>
        <w:keepNext w:val="0"/>
        <w:keepLines w:val="0"/>
        <w:pageBreakBefore w:val="0"/>
        <w:wordWrap/>
        <w:overflowPunct/>
        <w:topLinePunct w:val="0"/>
        <w:bidi w:val="0"/>
        <w:adjustRightInd w:val="0"/>
        <w:snapToGrid w:val="0"/>
        <w:spacing w:line="620" w:lineRule="exact"/>
        <w:ind w:firstLine="480" w:firstLineChars="200"/>
        <w:rPr>
          <w:sz w:val="24"/>
          <w:szCs w:val="24"/>
        </w:rPr>
      </w:pPr>
      <w:r>
        <w:rPr>
          <w:rFonts w:hint="eastAsia"/>
          <w:sz w:val="24"/>
          <w:szCs w:val="24"/>
        </w:rPr>
        <w:t>3、甲方提供的资料需要补充完善或作出书面说明的，甲方应在乙方要求的期限内及时进行补充完善或作出书面说明。</w:t>
      </w:r>
    </w:p>
    <w:p w14:paraId="4BFAACE4">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sz w:val="24"/>
          <w:szCs w:val="24"/>
        </w:rPr>
        <w:t>4、甲方有权向乙方了解工作进展情况并对乙方工作提出合理建议，但不得违反法律、法规或乙方的工作原则，否则，乙方有权说明理由后予以拒绝。</w:t>
      </w:r>
    </w:p>
    <w:p w14:paraId="4CFADF1C">
      <w:pPr>
        <w:keepNext w:val="0"/>
        <w:keepLines w:val="0"/>
        <w:pageBreakBefore w:val="0"/>
        <w:wordWrap/>
        <w:overflowPunct/>
        <w:topLinePunct w:val="0"/>
        <w:bidi w:val="0"/>
        <w:adjustRightInd w:val="0"/>
        <w:snapToGrid w:val="0"/>
        <w:spacing w:line="620" w:lineRule="exact"/>
        <w:ind w:firstLine="479" w:firstLineChars="199"/>
        <w:rPr>
          <w:b/>
          <w:bCs/>
          <w:kern w:val="44"/>
          <w:sz w:val="24"/>
          <w:szCs w:val="24"/>
        </w:rPr>
      </w:pPr>
      <w:r>
        <w:rPr>
          <w:rFonts w:hint="eastAsia"/>
          <w:b/>
          <w:bCs/>
          <w:sz w:val="24"/>
          <w:szCs w:val="24"/>
        </w:rPr>
        <w:t>第</w:t>
      </w:r>
      <w:r>
        <w:rPr>
          <w:rFonts w:hint="eastAsia"/>
          <w:b/>
          <w:bCs/>
          <w:sz w:val="24"/>
          <w:szCs w:val="24"/>
          <w:lang w:eastAsia="zh-CN"/>
        </w:rPr>
        <w:t>六</w:t>
      </w:r>
      <w:r>
        <w:rPr>
          <w:rFonts w:hint="eastAsia"/>
          <w:b/>
          <w:bCs/>
          <w:sz w:val="24"/>
          <w:szCs w:val="24"/>
        </w:rPr>
        <w:t xml:space="preserve">条 乙方权利和义务  </w:t>
      </w:r>
    </w:p>
    <w:p w14:paraId="07F66842">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sz w:val="24"/>
          <w:szCs w:val="24"/>
        </w:rPr>
        <w:t>1、乙方应秉承独立、客观、公正的工作原则，按照实事求是、廉洁诚信、严谨负责的态度开展咨询工作。</w:t>
      </w:r>
    </w:p>
    <w:p w14:paraId="623F3706">
      <w:pPr>
        <w:keepNext w:val="0"/>
        <w:keepLines w:val="0"/>
        <w:pageBreakBefore w:val="0"/>
        <w:wordWrap/>
        <w:overflowPunct/>
        <w:topLinePunct w:val="0"/>
        <w:bidi w:val="0"/>
        <w:adjustRightInd w:val="0"/>
        <w:snapToGrid w:val="0"/>
        <w:spacing w:line="620" w:lineRule="exact"/>
        <w:ind w:firstLine="480" w:firstLineChars="200"/>
        <w:rPr>
          <w:sz w:val="24"/>
          <w:szCs w:val="24"/>
        </w:rPr>
      </w:pPr>
      <w:r>
        <w:rPr>
          <w:rFonts w:hint="eastAsia"/>
          <w:sz w:val="24"/>
          <w:szCs w:val="24"/>
        </w:rPr>
        <w:t>2、如甲方提供的资料不完整或不明确，乙方有权要求甲方补充完善资料或作出书面说明。</w:t>
      </w:r>
    </w:p>
    <w:p w14:paraId="304918E0">
      <w:pPr>
        <w:keepNext w:val="0"/>
        <w:keepLines w:val="0"/>
        <w:pageBreakBefore w:val="0"/>
        <w:wordWrap/>
        <w:overflowPunct/>
        <w:topLinePunct w:val="0"/>
        <w:bidi w:val="0"/>
        <w:adjustRightInd w:val="0"/>
        <w:snapToGrid w:val="0"/>
        <w:spacing w:line="620" w:lineRule="exact"/>
        <w:ind w:firstLine="477" w:firstLineChars="199"/>
        <w:rPr>
          <w:rFonts w:hint="eastAsia"/>
          <w:sz w:val="24"/>
          <w:szCs w:val="24"/>
        </w:rPr>
      </w:pPr>
      <w:r>
        <w:rPr>
          <w:rFonts w:hint="eastAsia"/>
          <w:sz w:val="24"/>
          <w:szCs w:val="24"/>
        </w:rPr>
        <w:t>3、乙方应对甲方提供的</w:t>
      </w:r>
      <w:r>
        <w:rPr>
          <w:rFonts w:hint="eastAsia"/>
          <w:sz w:val="24"/>
          <w:szCs w:val="24"/>
          <w:lang w:eastAsia="zh-Hans"/>
        </w:rPr>
        <w:t>不为公众所知的</w:t>
      </w:r>
      <w:r>
        <w:rPr>
          <w:rFonts w:hint="eastAsia"/>
          <w:sz w:val="24"/>
          <w:szCs w:val="24"/>
        </w:rPr>
        <w:t>资料及乙方完成的咨询成果内容予以保密</w:t>
      </w:r>
      <w:r>
        <w:rPr>
          <w:rFonts w:hint="eastAsia"/>
          <w:sz w:val="24"/>
          <w:szCs w:val="24"/>
          <w:lang w:eastAsia="zh-Hans"/>
        </w:rPr>
        <w:t>，但法律</w:t>
      </w:r>
      <w:r>
        <w:rPr>
          <w:rFonts w:hint="eastAsia"/>
          <w:sz w:val="24"/>
          <w:szCs w:val="24"/>
          <w:lang w:val="en-US" w:eastAsia="zh-CN"/>
        </w:rPr>
        <w:t>法规规章</w:t>
      </w:r>
      <w:r>
        <w:rPr>
          <w:rFonts w:hint="eastAsia"/>
          <w:sz w:val="24"/>
          <w:szCs w:val="24"/>
          <w:lang w:eastAsia="zh-Hans"/>
        </w:rPr>
        <w:t>规定应当向</w:t>
      </w:r>
      <w:r>
        <w:rPr>
          <w:rFonts w:hint="eastAsia"/>
          <w:sz w:val="24"/>
          <w:szCs w:val="24"/>
          <w:lang w:val="en-US" w:eastAsia="zh-CN"/>
        </w:rPr>
        <w:t>执法部门、司法部门、监管部门等</w:t>
      </w:r>
      <w:r>
        <w:rPr>
          <w:rFonts w:hint="eastAsia"/>
          <w:sz w:val="24"/>
          <w:szCs w:val="24"/>
          <w:lang w:eastAsia="zh-Hans"/>
        </w:rPr>
        <w:t>第三方提供的除外</w:t>
      </w:r>
      <w:r>
        <w:rPr>
          <w:rFonts w:hint="eastAsia"/>
          <w:sz w:val="24"/>
          <w:szCs w:val="24"/>
        </w:rPr>
        <w:t>。</w:t>
      </w:r>
    </w:p>
    <w:p w14:paraId="25080CB2">
      <w:pPr>
        <w:keepNext w:val="0"/>
        <w:keepLines w:val="0"/>
        <w:pageBreakBefore w:val="0"/>
        <w:wordWrap/>
        <w:overflowPunct/>
        <w:topLinePunct w:val="0"/>
        <w:bidi w:val="0"/>
        <w:adjustRightInd w:val="0"/>
        <w:snapToGrid w:val="0"/>
        <w:spacing w:line="620" w:lineRule="exact"/>
        <w:ind w:firstLine="477" w:firstLineChars="199"/>
        <w:rPr>
          <w:rFonts w:hint="eastAsia" w:eastAsia="宋体" w:cs="Times New Roman"/>
          <w:sz w:val="24"/>
          <w:szCs w:val="24"/>
        </w:rPr>
      </w:pPr>
      <w:r>
        <w:rPr>
          <w:rFonts w:hint="eastAsia" w:eastAsia="宋体" w:cs="Times New Roman"/>
          <w:sz w:val="24"/>
          <w:szCs w:val="24"/>
        </w:rPr>
        <w:t>4、乙方提交的咨询成果不符合本合同约定的，应在合理期限内予以免费修改完善直至符合本合同约定的标准或要求。</w:t>
      </w:r>
    </w:p>
    <w:p w14:paraId="6A16B852">
      <w:pPr>
        <w:keepNext w:val="0"/>
        <w:keepLines w:val="0"/>
        <w:pageBreakBefore w:val="0"/>
        <w:wordWrap/>
        <w:overflowPunct/>
        <w:topLinePunct w:val="0"/>
        <w:bidi w:val="0"/>
        <w:adjustRightInd w:val="0"/>
        <w:snapToGrid w:val="0"/>
        <w:spacing w:line="620" w:lineRule="exact"/>
        <w:ind w:firstLine="479" w:firstLineChars="199"/>
        <w:rPr>
          <w:b/>
          <w:bCs/>
          <w:kern w:val="44"/>
          <w:sz w:val="24"/>
        </w:rPr>
      </w:pPr>
      <w:r>
        <w:rPr>
          <w:rFonts w:hint="eastAsia"/>
          <w:b/>
          <w:bCs/>
          <w:kern w:val="44"/>
          <w:sz w:val="24"/>
        </w:rPr>
        <w:t>第七条 知识产权</w:t>
      </w:r>
    </w:p>
    <w:p w14:paraId="60831EBF">
      <w:pPr>
        <w:keepNext w:val="0"/>
        <w:keepLines w:val="0"/>
        <w:pageBreakBefore w:val="0"/>
        <w:wordWrap/>
        <w:overflowPunct/>
        <w:topLinePunct w:val="0"/>
        <w:bidi w:val="0"/>
        <w:adjustRightInd w:val="0"/>
        <w:snapToGrid w:val="0"/>
        <w:spacing w:line="620" w:lineRule="exact"/>
        <w:ind w:firstLine="477" w:firstLineChars="199"/>
        <w:rPr>
          <w:sz w:val="24"/>
          <w:szCs w:val="24"/>
        </w:rPr>
      </w:pPr>
      <w:r>
        <w:rPr>
          <w:rFonts w:hint="eastAsia"/>
          <w:sz w:val="24"/>
          <w:szCs w:val="24"/>
        </w:rPr>
        <w:t>乙方按本合同约定完成的咨询服务成果的知识产权在甲方支付所有咨询服务费后归【</w:t>
      </w:r>
      <w:r>
        <w:rPr>
          <w:rFonts w:hint="eastAsia"/>
          <w:sz w:val="24"/>
          <w:szCs w:val="24"/>
          <w:lang w:val="en-US" w:eastAsia="zh-CN"/>
        </w:rPr>
        <w:t>甲</w:t>
      </w:r>
      <w:r>
        <w:rPr>
          <w:rFonts w:hint="eastAsia"/>
          <w:sz w:val="24"/>
          <w:szCs w:val="24"/>
        </w:rPr>
        <w:t>】方所有。</w:t>
      </w:r>
    </w:p>
    <w:p w14:paraId="0D7CCDD3">
      <w:pPr>
        <w:keepNext w:val="0"/>
        <w:keepLines w:val="0"/>
        <w:pageBreakBefore w:val="0"/>
        <w:wordWrap/>
        <w:overflowPunct/>
        <w:topLinePunct w:val="0"/>
        <w:bidi w:val="0"/>
        <w:adjustRightInd w:val="0"/>
        <w:snapToGrid w:val="0"/>
        <w:spacing w:line="620" w:lineRule="exact"/>
        <w:ind w:firstLine="482" w:firstLineChars="200"/>
        <w:rPr>
          <w:b/>
          <w:bCs/>
          <w:kern w:val="44"/>
          <w:sz w:val="24"/>
          <w:highlight w:val="none"/>
        </w:rPr>
      </w:pPr>
      <w:r>
        <w:rPr>
          <w:rFonts w:hint="eastAsia"/>
          <w:b/>
          <w:bCs/>
          <w:kern w:val="44"/>
          <w:sz w:val="24"/>
          <w:highlight w:val="none"/>
        </w:rPr>
        <w:t>第八条 违约责任</w:t>
      </w:r>
    </w:p>
    <w:p w14:paraId="37086BE1">
      <w:pPr>
        <w:keepNext w:val="0"/>
        <w:keepLines w:val="0"/>
        <w:pageBreakBefore w:val="0"/>
        <w:wordWrap/>
        <w:overflowPunct/>
        <w:topLinePunct w:val="0"/>
        <w:bidi w:val="0"/>
        <w:adjustRightInd w:val="0"/>
        <w:snapToGrid w:val="0"/>
        <w:spacing w:line="620" w:lineRule="exact"/>
        <w:ind w:firstLine="477" w:firstLineChars="199"/>
        <w:rPr>
          <w:rFonts w:hint="eastAsia" w:eastAsia="宋体" w:cs="Times New Roman"/>
          <w:sz w:val="24"/>
          <w:szCs w:val="24"/>
        </w:rPr>
      </w:pPr>
      <w:r>
        <w:rPr>
          <w:rFonts w:hint="eastAsia" w:eastAsia="宋体" w:cs="Times New Roman"/>
          <w:sz w:val="24"/>
          <w:szCs w:val="24"/>
        </w:rPr>
        <w:t>1.如因甲方原因（包括但不限于在乙方开始工作之前未向乙方及时提交完整、真实、正确的项目资料文件及相关电子文件）导致拖延项目进度，损失由甲方自行承担，乙方不承担任何责任。</w:t>
      </w:r>
    </w:p>
    <w:p w14:paraId="5A6141CC">
      <w:pPr>
        <w:keepNext w:val="0"/>
        <w:keepLines w:val="0"/>
        <w:pageBreakBefore w:val="0"/>
        <w:wordWrap/>
        <w:overflowPunct/>
        <w:topLinePunct w:val="0"/>
        <w:bidi w:val="0"/>
        <w:adjustRightInd w:val="0"/>
        <w:snapToGrid w:val="0"/>
        <w:spacing w:line="620" w:lineRule="exact"/>
        <w:ind w:firstLine="477" w:firstLineChars="199"/>
        <w:rPr>
          <w:rFonts w:hint="eastAsia" w:eastAsia="宋体" w:cs="Times New Roman"/>
          <w:sz w:val="24"/>
          <w:szCs w:val="24"/>
        </w:rPr>
      </w:pPr>
      <w:r>
        <w:rPr>
          <w:rFonts w:hint="eastAsia" w:eastAsia="宋体" w:cs="Times New Roman"/>
          <w:sz w:val="24"/>
          <w:szCs w:val="24"/>
        </w:rPr>
        <w:t>2.</w:t>
      </w:r>
      <w:r>
        <w:rPr>
          <w:rFonts w:hint="eastAsia" w:eastAsia="宋体" w:cs="Times New Roman"/>
          <w:sz w:val="24"/>
          <w:szCs w:val="24"/>
          <w:lang w:val="en-US" w:eastAsia="zh-CN"/>
        </w:rPr>
        <w:t>乙方不得违反法律法规规定和本合同约定，否则构成违约，甲方可解除合同，乙方向甲方支付合同总额20%违约金，给甲方造成损失的还应赔偿经济损失。</w:t>
      </w:r>
    </w:p>
    <w:p w14:paraId="40A1CD29">
      <w:pPr>
        <w:keepNext w:val="0"/>
        <w:keepLines w:val="0"/>
        <w:pageBreakBefore w:val="0"/>
        <w:wordWrap/>
        <w:overflowPunct/>
        <w:topLinePunct w:val="0"/>
        <w:bidi w:val="0"/>
        <w:adjustRightInd w:val="0"/>
        <w:snapToGrid w:val="0"/>
        <w:spacing w:line="620" w:lineRule="exact"/>
        <w:ind w:firstLine="482" w:firstLineChars="200"/>
        <w:rPr>
          <w:rFonts w:hint="eastAsia" w:eastAsia="宋体" w:cs="Times New Roman"/>
          <w:b/>
          <w:bCs/>
          <w:kern w:val="44"/>
          <w:sz w:val="24"/>
          <w:highlight w:val="none"/>
        </w:rPr>
      </w:pPr>
      <w:r>
        <w:rPr>
          <w:rFonts w:hint="eastAsia" w:eastAsia="宋体" w:cs="Times New Roman"/>
          <w:b/>
          <w:bCs/>
          <w:kern w:val="44"/>
          <w:sz w:val="24"/>
          <w:highlight w:val="none"/>
        </w:rPr>
        <w:t>第九条 争议解决及其他条款</w:t>
      </w:r>
    </w:p>
    <w:p w14:paraId="54758081">
      <w:pPr>
        <w:keepNext w:val="0"/>
        <w:keepLines w:val="0"/>
        <w:pageBreakBefore w:val="0"/>
        <w:wordWrap/>
        <w:overflowPunct/>
        <w:topLinePunct w:val="0"/>
        <w:bidi w:val="0"/>
        <w:adjustRightInd w:val="0"/>
        <w:snapToGrid w:val="0"/>
        <w:spacing w:line="620" w:lineRule="exact"/>
        <w:ind w:firstLine="477" w:firstLineChars="199"/>
        <w:rPr>
          <w:rFonts w:hint="eastAsia" w:eastAsia="宋体" w:cs="Times New Roman"/>
          <w:sz w:val="24"/>
          <w:szCs w:val="24"/>
        </w:rPr>
      </w:pPr>
      <w:r>
        <w:rPr>
          <w:rFonts w:hint="eastAsia" w:eastAsia="宋体" w:cs="Times New Roman"/>
          <w:sz w:val="24"/>
          <w:szCs w:val="24"/>
        </w:rPr>
        <w:t>1.本合同履行过程中各阶段任务书及双方认可的来往函件、会议纪要等书面资料，均为本合同组成部分，与本合同具有同等法律效力宜，未尽事由双方协商解决。如通过协商未能解决，任何一方均有权向甲方所在地法院提起诉讼。</w:t>
      </w:r>
    </w:p>
    <w:p w14:paraId="79A6435E">
      <w:pPr>
        <w:keepNext w:val="0"/>
        <w:keepLines w:val="0"/>
        <w:pageBreakBefore w:val="0"/>
        <w:wordWrap/>
        <w:overflowPunct/>
        <w:topLinePunct w:val="0"/>
        <w:bidi w:val="0"/>
        <w:adjustRightInd w:val="0"/>
        <w:snapToGrid w:val="0"/>
        <w:spacing w:line="620" w:lineRule="exact"/>
        <w:ind w:firstLine="480" w:firstLineChars="200"/>
        <w:rPr>
          <w:sz w:val="24"/>
          <w:szCs w:val="24"/>
        </w:rPr>
      </w:pPr>
      <w:r>
        <w:rPr>
          <w:rFonts w:hint="eastAsia"/>
          <w:sz w:val="24"/>
          <w:szCs w:val="24"/>
          <w:lang w:val="en-US" w:eastAsia="zh-CN"/>
        </w:rPr>
        <w:t>2</w:t>
      </w:r>
      <w:r>
        <w:rPr>
          <w:rFonts w:hint="eastAsia"/>
          <w:sz w:val="24"/>
          <w:szCs w:val="24"/>
        </w:rPr>
        <w:t>、本合同经双方加盖公章或合同专用章后生效</w:t>
      </w:r>
      <w:r>
        <w:rPr>
          <w:rFonts w:hint="eastAsia"/>
          <w:sz w:val="24"/>
          <w:szCs w:val="24"/>
          <w:lang w:eastAsia="zh-CN"/>
        </w:rPr>
        <w:t>，</w:t>
      </w:r>
      <w:r>
        <w:rPr>
          <w:rFonts w:hint="eastAsia"/>
          <w:sz w:val="24"/>
          <w:szCs w:val="24"/>
        </w:rPr>
        <w:t>一式【</w:t>
      </w:r>
      <w:r>
        <w:rPr>
          <w:rFonts w:hint="eastAsia"/>
          <w:sz w:val="24"/>
          <w:szCs w:val="24"/>
          <w:lang w:val="en-US" w:eastAsia="zh-CN"/>
        </w:rPr>
        <w:t>4</w:t>
      </w:r>
      <w:r>
        <w:rPr>
          <w:rFonts w:hint="eastAsia"/>
          <w:sz w:val="24"/>
          <w:szCs w:val="24"/>
        </w:rPr>
        <w:t>】份，甲方执【</w:t>
      </w:r>
      <w:r>
        <w:rPr>
          <w:rFonts w:hint="eastAsia"/>
          <w:sz w:val="24"/>
          <w:szCs w:val="24"/>
          <w:lang w:val="en-US" w:eastAsia="zh-CN"/>
        </w:rPr>
        <w:t>2</w:t>
      </w:r>
      <w:r>
        <w:rPr>
          <w:rFonts w:hint="eastAsia"/>
          <w:sz w:val="24"/>
          <w:szCs w:val="24"/>
        </w:rPr>
        <w:t>】份，乙方执【</w:t>
      </w:r>
      <w:r>
        <w:rPr>
          <w:rFonts w:hint="eastAsia"/>
          <w:sz w:val="24"/>
          <w:szCs w:val="24"/>
          <w:lang w:val="en-US" w:eastAsia="zh-CN"/>
        </w:rPr>
        <w:t>2</w:t>
      </w:r>
      <w:r>
        <w:rPr>
          <w:rFonts w:hint="eastAsia"/>
          <w:sz w:val="24"/>
          <w:szCs w:val="24"/>
        </w:rPr>
        <w:t>】份，具有同等法律效力。</w:t>
      </w:r>
    </w:p>
    <w:p w14:paraId="557384F0">
      <w:pPr>
        <w:adjustRightInd w:val="0"/>
        <w:snapToGrid w:val="0"/>
        <w:spacing w:line="620" w:lineRule="exact"/>
        <w:ind w:firstLine="480" w:firstLineChars="200"/>
      </w:pPr>
      <w:r>
        <w:rPr>
          <w:rFonts w:hint="eastAsia"/>
          <w:sz w:val="24"/>
          <w:szCs w:val="24"/>
        </w:rPr>
        <w:t>（以下无正文，为签字页）</w:t>
      </w:r>
    </w:p>
    <w:tbl>
      <w:tblPr>
        <w:tblStyle w:val="4"/>
        <w:tblpPr w:leftFromText="180" w:rightFromText="180" w:vertAnchor="text" w:horzAnchor="page" w:tblpX="1738" w:tblpY="505"/>
        <w:tblOverlap w:val="never"/>
        <w:tblW w:w="9060" w:type="dxa"/>
        <w:tblInd w:w="0" w:type="dxa"/>
        <w:tblLayout w:type="fixed"/>
        <w:tblCellMar>
          <w:top w:w="0" w:type="dxa"/>
          <w:left w:w="108" w:type="dxa"/>
          <w:bottom w:w="0" w:type="dxa"/>
          <w:right w:w="108" w:type="dxa"/>
        </w:tblCellMar>
      </w:tblPr>
      <w:tblGrid>
        <w:gridCol w:w="4530"/>
        <w:gridCol w:w="4530"/>
      </w:tblGrid>
      <w:tr w14:paraId="04828AF5">
        <w:tblPrEx>
          <w:tblCellMar>
            <w:top w:w="0" w:type="dxa"/>
            <w:left w:w="108" w:type="dxa"/>
            <w:bottom w:w="0" w:type="dxa"/>
            <w:right w:w="108" w:type="dxa"/>
          </w:tblCellMar>
        </w:tblPrEx>
        <w:trPr>
          <w:trHeight w:val="2196" w:hRule="atLeast"/>
        </w:trPr>
        <w:tc>
          <w:tcPr>
            <w:tcW w:w="4530" w:type="dxa"/>
            <w:noWrap w:val="0"/>
            <w:vAlign w:val="top"/>
          </w:tcPr>
          <w:p w14:paraId="58BF1FAB">
            <w:pPr>
              <w:adjustRightInd w:val="0"/>
              <w:snapToGrid w:val="0"/>
              <w:spacing w:line="620" w:lineRule="exact"/>
              <w:ind w:left="1920" w:hanging="1920" w:hangingChars="800"/>
              <w:rPr>
                <w:sz w:val="24"/>
                <w:szCs w:val="24"/>
              </w:rPr>
            </w:pPr>
            <w:r>
              <w:rPr>
                <w:rFonts w:hint="eastAsia"/>
                <w:sz w:val="24"/>
                <w:szCs w:val="24"/>
              </w:rPr>
              <w:t>委托方（甲方）：</w:t>
            </w:r>
            <w:r>
              <w:rPr>
                <w:rFonts w:hint="eastAsia" w:cs="Times New Roman"/>
                <w:sz w:val="24"/>
                <w:szCs w:val="24"/>
                <w:lang w:eastAsia="zh-CN"/>
              </w:rPr>
              <w:t>天津市西青区农业农村委员会</w:t>
            </w:r>
            <w:r>
              <w:rPr>
                <w:rFonts w:hint="eastAsia" w:cs="Times New Roman"/>
                <w:sz w:val="24"/>
                <w:szCs w:val="24"/>
              </w:rPr>
              <w:t>（</w:t>
            </w:r>
            <w:r>
              <w:rPr>
                <w:rFonts w:hint="eastAsia"/>
                <w:sz w:val="24"/>
                <w:szCs w:val="24"/>
              </w:rPr>
              <w:t>盖章）</w:t>
            </w:r>
          </w:p>
          <w:p w14:paraId="01914BC8">
            <w:pPr>
              <w:adjustRightInd w:val="0"/>
              <w:snapToGrid w:val="0"/>
              <w:spacing w:line="620" w:lineRule="exact"/>
              <w:rPr>
                <w:sz w:val="24"/>
                <w:szCs w:val="24"/>
              </w:rPr>
            </w:pPr>
            <w:r>
              <w:rPr>
                <w:rFonts w:hint="eastAsia"/>
                <w:sz w:val="24"/>
                <w:szCs w:val="24"/>
              </w:rPr>
              <w:t xml:space="preserve">法定代表人：        </w:t>
            </w:r>
          </w:p>
          <w:p w14:paraId="45C34384">
            <w:pPr>
              <w:adjustRightInd w:val="0"/>
              <w:snapToGrid w:val="0"/>
              <w:spacing w:line="620" w:lineRule="exact"/>
              <w:rPr>
                <w:sz w:val="24"/>
                <w:szCs w:val="24"/>
              </w:rPr>
            </w:pPr>
            <w:r>
              <w:rPr>
                <w:rFonts w:hint="eastAsia"/>
                <w:sz w:val="24"/>
                <w:szCs w:val="24"/>
              </w:rPr>
              <w:t>签订日期：</w:t>
            </w:r>
            <w:r>
              <w:rPr>
                <w:rFonts w:hint="eastAsia"/>
                <w:sz w:val="24"/>
                <w:szCs w:val="24"/>
                <w:lang w:val="en-US" w:eastAsia="zh-CN"/>
              </w:rPr>
              <w:t>2026</w:t>
            </w:r>
            <w:r>
              <w:rPr>
                <w:rFonts w:hint="eastAsia"/>
                <w:sz w:val="24"/>
                <w:szCs w:val="24"/>
              </w:rPr>
              <w:t xml:space="preserve"> 年</w:t>
            </w:r>
            <w:r>
              <w:rPr>
                <w:rFonts w:hint="eastAsia"/>
                <w:sz w:val="24"/>
                <w:szCs w:val="24"/>
                <w:lang w:val="en-US" w:eastAsia="zh-CN"/>
              </w:rPr>
              <w:t>4</w:t>
            </w:r>
            <w:r>
              <w:rPr>
                <w:rFonts w:hint="eastAsia"/>
                <w:sz w:val="24"/>
                <w:szCs w:val="24"/>
              </w:rPr>
              <w:t xml:space="preserve"> 月</w:t>
            </w:r>
            <w:r>
              <w:rPr>
                <w:rFonts w:hint="eastAsia"/>
                <w:sz w:val="24"/>
                <w:szCs w:val="24"/>
                <w:lang w:val="en-US" w:eastAsia="zh-CN"/>
              </w:rPr>
              <w:t>10</w:t>
            </w:r>
            <w:r>
              <w:rPr>
                <w:rFonts w:hint="eastAsia"/>
                <w:sz w:val="24"/>
                <w:szCs w:val="24"/>
              </w:rPr>
              <w:t>日</w:t>
            </w:r>
          </w:p>
        </w:tc>
        <w:tc>
          <w:tcPr>
            <w:tcW w:w="4530" w:type="dxa"/>
            <w:noWrap w:val="0"/>
            <w:vAlign w:val="top"/>
          </w:tcPr>
          <w:p w14:paraId="2D8B4417">
            <w:pPr>
              <w:adjustRightInd w:val="0"/>
              <w:snapToGrid w:val="0"/>
              <w:spacing w:line="620" w:lineRule="exact"/>
              <w:ind w:left="2160" w:hanging="2160" w:hangingChars="900"/>
              <w:rPr>
                <w:sz w:val="24"/>
                <w:szCs w:val="24"/>
              </w:rPr>
            </w:pPr>
            <w:r>
              <w:rPr>
                <w:rFonts w:hint="eastAsia"/>
                <w:sz w:val="24"/>
                <w:szCs w:val="24"/>
              </w:rPr>
              <w:t>受托方（乙方）：</w:t>
            </w:r>
            <w:r>
              <w:rPr>
                <w:rFonts w:hint="eastAsia"/>
                <w:b/>
                <w:bCs/>
                <w:sz w:val="24"/>
                <w:szCs w:val="24"/>
              </w:rPr>
              <w:t xml:space="preserve"> </w:t>
            </w:r>
            <w:r>
              <w:rPr>
                <w:rFonts w:hint="eastAsia" w:cs="Times New Roman"/>
                <w:sz w:val="24"/>
                <w:szCs w:val="24"/>
              </w:rPr>
              <w:t>农业农村部环境保护科研监测所</w:t>
            </w:r>
            <w:r>
              <w:rPr>
                <w:rFonts w:hint="eastAsia"/>
                <w:sz w:val="24"/>
                <w:szCs w:val="24"/>
              </w:rPr>
              <w:t>（盖章）</w:t>
            </w:r>
          </w:p>
          <w:p w14:paraId="731C89BF">
            <w:pPr>
              <w:adjustRightInd w:val="0"/>
              <w:snapToGrid w:val="0"/>
              <w:spacing w:line="620" w:lineRule="exact"/>
              <w:rPr>
                <w:sz w:val="24"/>
                <w:szCs w:val="24"/>
              </w:rPr>
            </w:pPr>
            <w:r>
              <w:rPr>
                <w:rFonts w:hint="eastAsia"/>
                <w:sz w:val="24"/>
                <w:szCs w:val="24"/>
              </w:rPr>
              <w:t xml:space="preserve">法定代表人：  </w:t>
            </w:r>
          </w:p>
          <w:p w14:paraId="68351D31">
            <w:pPr>
              <w:adjustRightInd w:val="0"/>
              <w:snapToGrid w:val="0"/>
              <w:spacing w:line="620" w:lineRule="exact"/>
              <w:rPr>
                <w:sz w:val="24"/>
                <w:szCs w:val="24"/>
              </w:rPr>
            </w:pPr>
            <w:r>
              <w:rPr>
                <w:rFonts w:hint="eastAsia"/>
                <w:sz w:val="24"/>
                <w:szCs w:val="24"/>
              </w:rPr>
              <w:t xml:space="preserve">签订日期： </w:t>
            </w:r>
            <w:r>
              <w:rPr>
                <w:rFonts w:hint="eastAsia"/>
                <w:sz w:val="24"/>
                <w:szCs w:val="24"/>
                <w:lang w:val="en-US" w:eastAsia="zh-CN"/>
              </w:rPr>
              <w:t>2026</w:t>
            </w:r>
            <w:r>
              <w:rPr>
                <w:rFonts w:hint="eastAsia"/>
                <w:sz w:val="24"/>
                <w:szCs w:val="24"/>
              </w:rPr>
              <w:t xml:space="preserve"> 年</w:t>
            </w:r>
            <w:r>
              <w:rPr>
                <w:rFonts w:hint="eastAsia"/>
                <w:sz w:val="24"/>
                <w:szCs w:val="24"/>
                <w:lang w:val="en-US" w:eastAsia="zh-CN"/>
              </w:rPr>
              <w:t>4</w:t>
            </w:r>
            <w:r>
              <w:rPr>
                <w:rFonts w:hint="eastAsia"/>
                <w:sz w:val="24"/>
                <w:szCs w:val="24"/>
              </w:rPr>
              <w:t>月</w:t>
            </w:r>
            <w:r>
              <w:rPr>
                <w:rFonts w:hint="eastAsia"/>
                <w:sz w:val="24"/>
                <w:szCs w:val="24"/>
                <w:lang w:val="en-US" w:eastAsia="zh-CN"/>
              </w:rPr>
              <w:t>10</w:t>
            </w:r>
            <w:r>
              <w:rPr>
                <w:rFonts w:hint="eastAsia"/>
                <w:sz w:val="24"/>
                <w:szCs w:val="24"/>
              </w:rPr>
              <w:t xml:space="preserve"> 日</w:t>
            </w:r>
          </w:p>
        </w:tc>
      </w:tr>
    </w:tbl>
    <w:p w14:paraId="3F9DCEF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F4E6BF"/>
    <w:multiLevelType w:val="singleLevel"/>
    <w:tmpl w:val="D7F4E6BF"/>
    <w:lvl w:ilvl="0" w:tentative="0">
      <w:start w:val="4"/>
      <w:numFmt w:val="chineseCounting"/>
      <w:suff w:val="space"/>
      <w:lvlText w:val="第%1条"/>
      <w:lvlJc w:val="left"/>
      <w:pPr>
        <w:ind w:left="480" w:leftChars="0" w:firstLine="0" w:firstLineChars="0"/>
      </w:pPr>
      <w:rPr>
        <w:rFonts w:hint="eastAsia"/>
      </w:rPr>
    </w:lvl>
  </w:abstractNum>
  <w:abstractNum w:abstractNumId="1">
    <w:nsid w:val="FF88E1A3"/>
    <w:multiLevelType w:val="singleLevel"/>
    <w:tmpl w:val="FF88E1A3"/>
    <w:lvl w:ilvl="0" w:tentative="0">
      <w:start w:val="1"/>
      <w:numFmt w:val="ideographTraditional"/>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zY2EwNmFmMWFjYzllZjFiYzI3MTY0YzZhM2M4YTAifQ=="/>
  </w:docVars>
  <w:rsids>
    <w:rsidRoot w:val="11052F96"/>
    <w:rsid w:val="01C40DDD"/>
    <w:rsid w:val="03F51722"/>
    <w:rsid w:val="03FE7EAB"/>
    <w:rsid w:val="061F2A86"/>
    <w:rsid w:val="06B55198"/>
    <w:rsid w:val="06C74ECC"/>
    <w:rsid w:val="094F53E1"/>
    <w:rsid w:val="0A5F3FAD"/>
    <w:rsid w:val="0CA55FF7"/>
    <w:rsid w:val="0F566DED"/>
    <w:rsid w:val="0FBF0E36"/>
    <w:rsid w:val="11052F96"/>
    <w:rsid w:val="11063C9F"/>
    <w:rsid w:val="14373691"/>
    <w:rsid w:val="145E0C1D"/>
    <w:rsid w:val="160A0225"/>
    <w:rsid w:val="16BE3BF5"/>
    <w:rsid w:val="172D0D7B"/>
    <w:rsid w:val="193463F1"/>
    <w:rsid w:val="1D344C11"/>
    <w:rsid w:val="1D666D95"/>
    <w:rsid w:val="1E396257"/>
    <w:rsid w:val="1E731769"/>
    <w:rsid w:val="1FB37C03"/>
    <w:rsid w:val="20CE712B"/>
    <w:rsid w:val="21260D15"/>
    <w:rsid w:val="21C81DCC"/>
    <w:rsid w:val="22031056"/>
    <w:rsid w:val="23A12FCD"/>
    <w:rsid w:val="286F11F3"/>
    <w:rsid w:val="2879797C"/>
    <w:rsid w:val="2B326508"/>
    <w:rsid w:val="2B6568DD"/>
    <w:rsid w:val="2BF76BBD"/>
    <w:rsid w:val="2CBE62A5"/>
    <w:rsid w:val="2D5704A8"/>
    <w:rsid w:val="2D9214E0"/>
    <w:rsid w:val="314F1BC2"/>
    <w:rsid w:val="32EB3B6C"/>
    <w:rsid w:val="33C85C5B"/>
    <w:rsid w:val="34B55802"/>
    <w:rsid w:val="35BA7666"/>
    <w:rsid w:val="35ED19A9"/>
    <w:rsid w:val="37976071"/>
    <w:rsid w:val="37991DE9"/>
    <w:rsid w:val="3AA7481D"/>
    <w:rsid w:val="3F7A2500"/>
    <w:rsid w:val="3F95733A"/>
    <w:rsid w:val="3FD00372"/>
    <w:rsid w:val="41480BCA"/>
    <w:rsid w:val="43E97C54"/>
    <w:rsid w:val="44F00B6E"/>
    <w:rsid w:val="477C0DDF"/>
    <w:rsid w:val="48A95C04"/>
    <w:rsid w:val="4A3B6D2F"/>
    <w:rsid w:val="4A862427"/>
    <w:rsid w:val="4AE41175"/>
    <w:rsid w:val="4BC66ACD"/>
    <w:rsid w:val="4BCA036B"/>
    <w:rsid w:val="4BED4059"/>
    <w:rsid w:val="4C575977"/>
    <w:rsid w:val="4E546612"/>
    <w:rsid w:val="50D42CD2"/>
    <w:rsid w:val="52503E18"/>
    <w:rsid w:val="52884ADC"/>
    <w:rsid w:val="559350B2"/>
    <w:rsid w:val="59146777"/>
    <w:rsid w:val="59EB32A1"/>
    <w:rsid w:val="5A47527D"/>
    <w:rsid w:val="5A4D6F36"/>
    <w:rsid w:val="5EF9863F"/>
    <w:rsid w:val="60600E46"/>
    <w:rsid w:val="61671D60"/>
    <w:rsid w:val="61693D2A"/>
    <w:rsid w:val="62854B94"/>
    <w:rsid w:val="634B7B8C"/>
    <w:rsid w:val="64B41760"/>
    <w:rsid w:val="65064640"/>
    <w:rsid w:val="65644F35"/>
    <w:rsid w:val="656F2769"/>
    <w:rsid w:val="66544FA9"/>
    <w:rsid w:val="67D839B8"/>
    <w:rsid w:val="688F051A"/>
    <w:rsid w:val="69272501"/>
    <w:rsid w:val="693410C2"/>
    <w:rsid w:val="69AB1384"/>
    <w:rsid w:val="6CBF5146"/>
    <w:rsid w:val="6DFF4BF7"/>
    <w:rsid w:val="6F5343FA"/>
    <w:rsid w:val="6FFE08FF"/>
    <w:rsid w:val="70025A76"/>
    <w:rsid w:val="700E441B"/>
    <w:rsid w:val="711C2B67"/>
    <w:rsid w:val="729E12E1"/>
    <w:rsid w:val="72FC249F"/>
    <w:rsid w:val="732301DD"/>
    <w:rsid w:val="73BB6668"/>
    <w:rsid w:val="742B7E83"/>
    <w:rsid w:val="746823E6"/>
    <w:rsid w:val="74E7348C"/>
    <w:rsid w:val="752E2E69"/>
    <w:rsid w:val="76DABD1E"/>
    <w:rsid w:val="78590179"/>
    <w:rsid w:val="78DF14CE"/>
    <w:rsid w:val="79246A5D"/>
    <w:rsid w:val="7CCB4BA1"/>
    <w:rsid w:val="7FFF5EE8"/>
    <w:rsid w:val="EEF1ADDC"/>
    <w:rsid w:val="F5F3AB45"/>
    <w:rsid w:val="FBFE4E36"/>
    <w:rsid w:val="FEDEC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pPr>
  </w:style>
  <w:style w:type="paragraph" w:styleId="3">
    <w:name w:val="Body Text"/>
    <w:basedOn w:val="1"/>
    <w:next w:val="1"/>
    <w:semiHidden/>
    <w:qFormat/>
    <w:uiPriority w:val="0"/>
    <w:pPr>
      <w:kinsoku w:val="0"/>
      <w:autoSpaceDE w:val="0"/>
      <w:autoSpaceDN w:val="0"/>
      <w:adjustRightInd w:val="0"/>
      <w:snapToGrid w:val="0"/>
      <w:spacing w:before="120" w:after="120" w:line="240" w:lineRule="auto"/>
      <w:jc w:val="left"/>
      <w:textAlignment w:val="baseline"/>
    </w:pPr>
    <w:rPr>
      <w:rFonts w:ascii="Arial" w:hAnsi="Arial" w:eastAsia="Arial" w:cs="Arial"/>
      <w:snapToGrid w:val="0"/>
      <w:color w:val="000000"/>
      <w:kern w:val="0"/>
      <w:sz w:val="21"/>
      <w:szCs w:val="21"/>
      <w:lang w:val="en-US" w:eastAsia="en-US" w:bidi="ar-SA"/>
    </w:rPr>
  </w:style>
  <w:style w:type="paragraph" w:customStyle="1" w:styleId="6">
    <w:name w:val="无间隔1"/>
    <w:qFormat/>
    <w:uiPriority w:val="1"/>
    <w:pPr>
      <w:widowControl w:val="0"/>
      <w:jc w:val="both"/>
    </w:pPr>
    <w:rPr>
      <w:rFonts w:ascii="Calibri" w:hAnsi="Calibri"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204</Words>
  <Characters>210</Characters>
  <Lines>0</Lines>
  <Paragraphs>0</Paragraphs>
  <TotalTime>0</TotalTime>
  <ScaleCrop>false</ScaleCrop>
  <LinksUpToDate>false</LinksUpToDate>
  <CharactersWithSpaces>213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2024-03-16T05:56:00Z</dcterms:created>
  <dc:creator>Iris.L</dc:creator>
  <cp:lastModifiedBy>冯文强</cp:lastModifiedBy>
  <cp:lastPrinted>2024-06-01T22:12:00Z</cp:lastPrinted>
  <dcterms:modified xsi:type="dcterms:W3CDTF">2026-04-14T01:20:06Z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6E79DBEA8C9F4113A326B25C925FF4B1_13</vt:lpwstr>
  </property>
  <property fmtid="{D5CDD505-2E9C-101B-9397-08002B2CF9AE}" pid="4" name="KSOTemplateDocerSaveRecord">
    <vt:lpwstr>eyJoZGlkIjoiY2U0MWQ0NGVlMjE2ZjMwMTExYjM3MDdhNjRkYjdkNDQiLCJ1c2VySWQiOiI2MDIxNjc2MzEifQ==</vt:lpwstr>
  </property>
</Properties>
</file>